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9B8E" w14:textId="2045B36D" w:rsidR="004D589D" w:rsidRDefault="007217DB" w:rsidP="005A01AE">
      <w:pPr>
        <w:spacing w:line="276" w:lineRule="auto"/>
        <w:jc w:val="center"/>
        <w:rPr>
          <w:rFonts w:ascii="Abadi" w:hAnsi="Abadi"/>
          <w:b/>
          <w:bCs/>
          <w:sz w:val="32"/>
          <w:szCs w:val="32"/>
          <w:u w:val="single"/>
        </w:rPr>
      </w:pPr>
      <w:r w:rsidRPr="0066240D">
        <w:rPr>
          <w:rFonts w:eastAsia="Calibri"/>
          <w:b/>
          <w:bCs/>
          <w:noProof/>
        </w:rPr>
        <w:drawing>
          <wp:anchor distT="0" distB="0" distL="114300" distR="114300" simplePos="0" relativeHeight="251661312" behindDoc="1" locked="0" layoutInCell="1" allowOverlap="1" wp14:anchorId="1E91CFEF" wp14:editId="6151ABAA">
            <wp:simplePos x="0" y="0"/>
            <wp:positionH relativeFrom="margin">
              <wp:posOffset>4307505</wp:posOffset>
            </wp:positionH>
            <wp:positionV relativeFrom="paragraph">
              <wp:posOffset>-589448</wp:posOffset>
            </wp:positionV>
            <wp:extent cx="1443392" cy="1189035"/>
            <wp:effectExtent l="0" t="0" r="0" b="508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8" cstate="print">
                      <a:extLst>
                        <a:ext uri="{28A0092B-C50C-407E-A947-70E740481C1C}">
                          <a14:useLocalDpi xmlns:a14="http://schemas.microsoft.com/office/drawing/2010/main" val="0"/>
                        </a:ext>
                      </a:extLst>
                    </a:blip>
                    <a:srcRect l="15732" r="13120" b="25648"/>
                    <a:stretch/>
                  </pic:blipFill>
                  <pic:spPr bwMode="auto">
                    <a:xfrm>
                      <a:off x="0" y="0"/>
                      <a:ext cx="1446565" cy="11916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08A207D" wp14:editId="0A886D1B">
            <wp:simplePos x="0" y="0"/>
            <wp:positionH relativeFrom="column">
              <wp:posOffset>6586</wp:posOffset>
            </wp:positionH>
            <wp:positionV relativeFrom="paragraph">
              <wp:posOffset>-590608</wp:posOffset>
            </wp:positionV>
            <wp:extent cx="1275347" cy="1275347"/>
            <wp:effectExtent l="0" t="0" r="0" b="0"/>
            <wp:wrapNone/>
            <wp:docPr id="735770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0112" name="Image 735770112"/>
                    <pic:cNvPicPr/>
                  </pic:nvPicPr>
                  <pic:blipFill>
                    <a:blip r:embed="rId9">
                      <a:extLst>
                        <a:ext uri="{28A0092B-C50C-407E-A947-70E740481C1C}">
                          <a14:useLocalDpi xmlns:a14="http://schemas.microsoft.com/office/drawing/2010/main" val="0"/>
                        </a:ext>
                      </a:extLst>
                    </a:blip>
                    <a:stretch>
                      <a:fillRect/>
                    </a:stretch>
                  </pic:blipFill>
                  <pic:spPr>
                    <a:xfrm>
                      <a:off x="0" y="0"/>
                      <a:ext cx="1275347" cy="1275347"/>
                    </a:xfrm>
                    <a:prstGeom prst="rect">
                      <a:avLst/>
                    </a:prstGeom>
                  </pic:spPr>
                </pic:pic>
              </a:graphicData>
            </a:graphic>
            <wp14:sizeRelH relativeFrom="page">
              <wp14:pctWidth>0</wp14:pctWidth>
            </wp14:sizeRelH>
            <wp14:sizeRelV relativeFrom="page">
              <wp14:pctHeight>0</wp14:pctHeight>
            </wp14:sizeRelV>
          </wp:anchor>
        </w:drawing>
      </w:r>
    </w:p>
    <w:p w14:paraId="2489EAAB" w14:textId="3C2EC1F6" w:rsidR="00AE0F99" w:rsidRPr="008C5169" w:rsidRDefault="00AE0F99" w:rsidP="008C5169">
      <w:pPr>
        <w:spacing w:line="276" w:lineRule="auto"/>
        <w:rPr>
          <w:rFonts w:ascii="Abadi" w:hAnsi="Abadi"/>
          <w:b/>
          <w:bCs/>
          <w:sz w:val="18"/>
          <w:szCs w:val="18"/>
          <w:u w:val="single"/>
        </w:rPr>
      </w:pPr>
    </w:p>
    <w:p w14:paraId="6D55F4D4" w14:textId="77777777" w:rsidR="008C5169" w:rsidRDefault="008C5169" w:rsidP="004D589D">
      <w:pPr>
        <w:jc w:val="center"/>
        <w:rPr>
          <w:rFonts w:ascii="Comic Sans MS" w:eastAsia="BM DoHyeon OTF" w:hAnsi="Comic Sans MS" w:cs="Baloo Bhaijaan"/>
          <w:b/>
          <w:color w:val="2F5496" w:themeColor="accent1" w:themeShade="BF"/>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E96D30" w14:textId="3719A183" w:rsidR="004A6DF3" w:rsidRPr="004D589D" w:rsidRDefault="004D589D" w:rsidP="004D589D">
      <w:pPr>
        <w:jc w:val="center"/>
        <w:rPr>
          <w:rFonts w:ascii="Comic Sans MS" w:eastAsia="BM DoHyeon OTF" w:hAnsi="Comic Sans MS" w:cs="Baloo Bhaijaan"/>
          <w:b/>
          <w:color w:val="2F5496" w:themeColor="accent1" w:themeShade="BF"/>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589D">
        <w:rPr>
          <w:rFonts w:ascii="Comic Sans MS" w:eastAsia="BM DoHyeon OTF" w:hAnsi="Comic Sans MS" w:cs="Baloo Bhaijaan"/>
          <w:b/>
          <w:color w:val="2F5496" w:themeColor="accent1" w:themeShade="BF"/>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APPEL A CANDIDATURES</w:t>
      </w:r>
    </w:p>
    <w:p w14:paraId="14AB818E" w14:textId="77777777" w:rsidR="00AE0F99" w:rsidRPr="00AE0F99" w:rsidRDefault="00AE0F99" w:rsidP="005A01AE">
      <w:pPr>
        <w:spacing w:line="276" w:lineRule="auto"/>
        <w:jc w:val="center"/>
        <w:rPr>
          <w:rFonts w:ascii="Abadi" w:hAnsi="Abadi"/>
          <w:b/>
          <w:bCs/>
          <w:sz w:val="13"/>
          <w:szCs w:val="13"/>
          <w:u w:val="single"/>
        </w:rPr>
      </w:pPr>
    </w:p>
    <w:p w14:paraId="16A63EF9" w14:textId="7DA2DDEB" w:rsidR="00093148" w:rsidRPr="00093148" w:rsidRDefault="00093148" w:rsidP="00093148">
      <w:pPr>
        <w:spacing w:after="160" w:line="276" w:lineRule="auto"/>
        <w:jc w:val="both"/>
        <w:rPr>
          <w:rFonts w:ascii="Abadi" w:hAnsi="Abadi"/>
        </w:rPr>
      </w:pPr>
      <w:r w:rsidRPr="00093148">
        <w:rPr>
          <w:rFonts w:ascii="Abadi" w:hAnsi="Abadi"/>
        </w:rPr>
        <w:t>La performance publique constitue un enjeu crucial pour les gouvernements modernes, qui cherchent constamment à améliorer l'efficacité et l'efficience de leurs administrations. Le management par la performance, largement adopté dans le secteur privé, est aujourd'hui considéré comme une référence essentielle pour le renouveau du secteur public. Cette démarche de performance</w:t>
      </w:r>
      <w:r w:rsidR="006A2113">
        <w:rPr>
          <w:rFonts w:ascii="Abadi" w:hAnsi="Abadi"/>
        </w:rPr>
        <w:t xml:space="preserve"> est </w:t>
      </w:r>
      <w:r w:rsidRPr="00093148">
        <w:rPr>
          <w:rFonts w:ascii="Abadi" w:hAnsi="Abadi"/>
        </w:rPr>
        <w:t xml:space="preserve">déjà mise en œuvre avec succès dans </w:t>
      </w:r>
      <w:r w:rsidR="006A2113">
        <w:rPr>
          <w:rFonts w:ascii="Abadi" w:hAnsi="Abadi"/>
        </w:rPr>
        <w:t>plusieurs</w:t>
      </w:r>
      <w:r w:rsidRPr="00093148">
        <w:rPr>
          <w:rFonts w:ascii="Abadi" w:hAnsi="Abadi"/>
        </w:rPr>
        <w:t xml:space="preserve"> pays </w:t>
      </w:r>
      <w:r w:rsidR="00F0736D">
        <w:rPr>
          <w:rFonts w:ascii="Abadi" w:hAnsi="Abadi"/>
        </w:rPr>
        <w:t xml:space="preserve">de par le monde. </w:t>
      </w:r>
    </w:p>
    <w:p w14:paraId="02CAA2D0" w14:textId="2B1ED35E" w:rsidR="00093148" w:rsidRPr="00093148" w:rsidRDefault="00F0736D" w:rsidP="00093148">
      <w:pPr>
        <w:spacing w:after="160" w:line="276" w:lineRule="auto"/>
        <w:jc w:val="both"/>
        <w:rPr>
          <w:rFonts w:ascii="Abadi" w:hAnsi="Abadi"/>
        </w:rPr>
      </w:pPr>
      <w:r w:rsidRPr="00F0736D">
        <w:rPr>
          <w:rFonts w:ascii="Abadi" w:hAnsi="Abadi" w:cstheme="minorBidi"/>
        </w:rPr>
        <w:t>Le Tchad, en quête d'amélioration continue de ses pratiques administratives, ne peut se permettre de rester en marge de cette évolution</w:t>
      </w:r>
      <w:r>
        <w:rPr>
          <w:rFonts w:ascii="Abadi" w:hAnsi="Abadi"/>
        </w:rPr>
        <w:t>.</w:t>
      </w:r>
      <w:r w:rsidRPr="00F0736D">
        <w:rPr>
          <w:rFonts w:ascii="Abadi" w:hAnsi="Abadi" w:cstheme="minorBidi"/>
        </w:rPr>
        <w:t xml:space="preserve"> C'est dans cette dynamique de modernisation et de recherche de performance que s'inscrit </w:t>
      </w:r>
      <w:r>
        <w:rPr>
          <w:rFonts w:ascii="Abadi" w:hAnsi="Abadi"/>
        </w:rPr>
        <w:t>cette</w:t>
      </w:r>
      <w:r w:rsidRPr="00F0736D">
        <w:rPr>
          <w:rFonts w:ascii="Abadi" w:hAnsi="Abadi" w:cstheme="minorBidi"/>
        </w:rPr>
        <w:t xml:space="preserve"> formation </w:t>
      </w:r>
      <w:r w:rsidR="006A2113">
        <w:rPr>
          <w:rFonts w:ascii="Abadi" w:hAnsi="Abadi" w:cstheme="minorBidi"/>
        </w:rPr>
        <w:t>« </w:t>
      </w:r>
      <w:r w:rsidRPr="006A2113">
        <w:rPr>
          <w:rFonts w:ascii="Abadi" w:hAnsi="Abadi" w:cstheme="minorBidi"/>
          <w:b/>
          <w:bCs/>
        </w:rPr>
        <w:t>Management de la performance de l'administration publique</w:t>
      </w:r>
      <w:r w:rsidR="006A2113">
        <w:rPr>
          <w:rFonts w:ascii="Abadi" w:hAnsi="Abadi" w:cstheme="minorBidi"/>
        </w:rPr>
        <w:t> »</w:t>
      </w:r>
      <w:r w:rsidRPr="00F0736D">
        <w:rPr>
          <w:rFonts w:ascii="Abadi" w:hAnsi="Abadi" w:cstheme="minorBidi"/>
        </w:rPr>
        <w:t xml:space="preserve"> proposée par l'École Nationale d'Administration (ENA) du Tchad. </w:t>
      </w:r>
    </w:p>
    <w:p w14:paraId="264FB6AC" w14:textId="016F83EA" w:rsidR="00F0736D" w:rsidRPr="00AE0F99" w:rsidRDefault="00F0736D" w:rsidP="00AE0F99">
      <w:pPr>
        <w:shd w:val="clear" w:color="auto" w:fill="2F5496" w:themeFill="accent1" w:themeFillShade="BF"/>
        <w:rPr>
          <w:rFonts w:ascii="Abadi" w:hAnsi="Abadi"/>
          <w:color w:val="FFFFFF" w:themeColor="background1"/>
          <w:sz w:val="32"/>
          <w:szCs w:val="32"/>
        </w:rPr>
      </w:pPr>
      <w:r w:rsidRPr="00AE0F99">
        <w:rPr>
          <w:rFonts w:ascii="Abadi" w:hAnsi="Abadi"/>
          <w:color w:val="FFFFFF" w:themeColor="background1"/>
          <w:sz w:val="32"/>
          <w:szCs w:val="32"/>
        </w:rPr>
        <w:t xml:space="preserve">Objectif du programme </w:t>
      </w:r>
    </w:p>
    <w:p w14:paraId="545DB7E7" w14:textId="77777777" w:rsidR="00AE0F99" w:rsidRDefault="00AE0F99" w:rsidP="00EE154E">
      <w:pPr>
        <w:spacing w:line="276" w:lineRule="auto"/>
        <w:jc w:val="both"/>
        <w:rPr>
          <w:rFonts w:ascii="Abadi" w:hAnsi="Abadi"/>
        </w:rPr>
      </w:pPr>
    </w:p>
    <w:p w14:paraId="0FD5AB18" w14:textId="55669C84" w:rsidR="004A6DF3" w:rsidRDefault="00F0736D" w:rsidP="00EE154E">
      <w:pPr>
        <w:spacing w:line="276" w:lineRule="auto"/>
        <w:jc w:val="both"/>
        <w:rPr>
          <w:rFonts w:ascii="Abadi" w:hAnsi="Abadi"/>
        </w:rPr>
      </w:pPr>
      <w:r w:rsidRPr="00F0736D">
        <w:rPr>
          <w:rFonts w:ascii="Abadi" w:hAnsi="Abadi"/>
        </w:rPr>
        <w:t xml:space="preserve">L’objectif de la formation </w:t>
      </w:r>
      <w:r w:rsidR="006A2113">
        <w:rPr>
          <w:rFonts w:ascii="Abadi" w:hAnsi="Abadi"/>
        </w:rPr>
        <w:t>« </w:t>
      </w:r>
      <w:r w:rsidRPr="006A2113">
        <w:rPr>
          <w:rFonts w:ascii="Abadi" w:hAnsi="Abadi"/>
          <w:b/>
          <w:bCs/>
        </w:rPr>
        <w:t>Management de la performance de l’administration publique</w:t>
      </w:r>
      <w:r w:rsidR="006A2113">
        <w:rPr>
          <w:rFonts w:ascii="Abadi" w:hAnsi="Abadi"/>
        </w:rPr>
        <w:t> »</w:t>
      </w:r>
      <w:r w:rsidRPr="00F0736D">
        <w:rPr>
          <w:rFonts w:ascii="Abadi" w:hAnsi="Abadi"/>
        </w:rPr>
        <w:t xml:space="preserve"> est de permettre au personnel de la fonction publique et du secteur privé d’acquérir et de développer des compétences managériales avancées, spécifiquement orientées vers les enjeux contemporains. </w:t>
      </w:r>
      <w:r w:rsidR="006A2113">
        <w:rPr>
          <w:rFonts w:ascii="Abadi" w:hAnsi="Abadi"/>
        </w:rPr>
        <w:t>La</w:t>
      </w:r>
      <w:r w:rsidRPr="00F0736D">
        <w:rPr>
          <w:rFonts w:ascii="Abadi" w:hAnsi="Abadi"/>
        </w:rPr>
        <w:t xml:space="preserve"> formation vise à les doter des outils nécessaires pour répondre efficacement aux défis complexes et changeants de leur environnement, en s'appuyant sur des pratiques éprouvées et des stratégies innovantes de gestion de la performance.</w:t>
      </w:r>
    </w:p>
    <w:p w14:paraId="396FD3FA" w14:textId="77777777" w:rsidR="00AE0F99" w:rsidRDefault="00AE0F99" w:rsidP="00EE154E">
      <w:pPr>
        <w:spacing w:line="276" w:lineRule="auto"/>
        <w:jc w:val="both"/>
        <w:rPr>
          <w:rFonts w:ascii="Abadi" w:hAnsi="Abadi"/>
        </w:rPr>
      </w:pPr>
    </w:p>
    <w:p w14:paraId="19058421" w14:textId="606840FA" w:rsidR="00F0736D" w:rsidRPr="00AE0F99" w:rsidRDefault="00F0736D" w:rsidP="00AE0F99">
      <w:pPr>
        <w:shd w:val="clear" w:color="auto" w:fill="2F5496" w:themeFill="accent1" w:themeFillShade="BF"/>
        <w:rPr>
          <w:rFonts w:ascii="Abadi" w:hAnsi="Abadi"/>
          <w:color w:val="FFFFFF" w:themeColor="background1"/>
          <w:sz w:val="32"/>
          <w:szCs w:val="32"/>
        </w:rPr>
      </w:pPr>
      <w:r w:rsidRPr="00AE0F99">
        <w:rPr>
          <w:rFonts w:ascii="Abadi" w:hAnsi="Abadi"/>
          <w:color w:val="FFFFFF" w:themeColor="background1"/>
          <w:sz w:val="32"/>
          <w:szCs w:val="32"/>
        </w:rPr>
        <w:t>Débouché</w:t>
      </w:r>
    </w:p>
    <w:p w14:paraId="2FDB3A45" w14:textId="77777777" w:rsidR="00AE0F99" w:rsidRDefault="00AE0F99" w:rsidP="00B96E10">
      <w:pPr>
        <w:rPr>
          <w:rFonts w:ascii="Abadi" w:hAnsi="Abadi"/>
        </w:rPr>
      </w:pPr>
    </w:p>
    <w:p w14:paraId="4112AA99" w14:textId="3CB611F2" w:rsidR="00B96E10" w:rsidRPr="00B96E10" w:rsidRDefault="00B96E10" w:rsidP="00B96E10">
      <w:pPr>
        <w:rPr>
          <w:rFonts w:ascii="Abadi" w:hAnsi="Abadi"/>
        </w:rPr>
      </w:pPr>
      <w:r w:rsidRPr="00B96E10">
        <w:rPr>
          <w:rFonts w:ascii="Abadi" w:hAnsi="Abadi"/>
        </w:rPr>
        <w:t>Les diplômés de cette formation seront préparés à :</w:t>
      </w:r>
    </w:p>
    <w:p w14:paraId="327C92C7" w14:textId="77777777" w:rsidR="00B96E10" w:rsidRPr="00683DB7" w:rsidRDefault="00B96E10" w:rsidP="00683DB7">
      <w:pPr>
        <w:pStyle w:val="Paragraphedeliste"/>
        <w:numPr>
          <w:ilvl w:val="0"/>
          <w:numId w:val="3"/>
        </w:numPr>
        <w:spacing w:line="276" w:lineRule="auto"/>
        <w:jc w:val="both"/>
        <w:rPr>
          <w:rFonts w:ascii="Abadi" w:hAnsi="Abadi"/>
          <w:b/>
          <w:bCs/>
        </w:rPr>
      </w:pPr>
      <w:r w:rsidRPr="00683DB7">
        <w:rPr>
          <w:rFonts w:ascii="Abadi" w:hAnsi="Abadi"/>
          <w:b/>
          <w:bCs/>
        </w:rPr>
        <w:t xml:space="preserve">Maîtriser des méthodes d’évaluation </w:t>
      </w:r>
    </w:p>
    <w:p w14:paraId="56650E6A" w14:textId="77777777" w:rsidR="00D658AF" w:rsidRPr="00683DB7" w:rsidRDefault="00D658AF" w:rsidP="00683DB7">
      <w:pPr>
        <w:pStyle w:val="Paragraphedeliste"/>
        <w:numPr>
          <w:ilvl w:val="0"/>
          <w:numId w:val="3"/>
        </w:numPr>
        <w:spacing w:line="276" w:lineRule="auto"/>
        <w:jc w:val="both"/>
        <w:rPr>
          <w:rFonts w:ascii="Abadi" w:hAnsi="Abadi"/>
          <w:b/>
          <w:bCs/>
        </w:rPr>
      </w:pPr>
      <w:r w:rsidRPr="00683DB7">
        <w:rPr>
          <w:rFonts w:ascii="Abadi" w:hAnsi="Abadi"/>
          <w:b/>
          <w:bCs/>
        </w:rPr>
        <w:t xml:space="preserve">Aider à la décision publique </w:t>
      </w:r>
    </w:p>
    <w:p w14:paraId="0574C39E" w14:textId="77777777" w:rsidR="00D658AF" w:rsidRPr="00683DB7" w:rsidRDefault="00D658AF" w:rsidP="00683DB7">
      <w:pPr>
        <w:pStyle w:val="Paragraphedeliste"/>
        <w:numPr>
          <w:ilvl w:val="0"/>
          <w:numId w:val="3"/>
        </w:numPr>
        <w:spacing w:line="276" w:lineRule="auto"/>
        <w:jc w:val="both"/>
        <w:rPr>
          <w:rFonts w:ascii="Abadi" w:hAnsi="Abadi"/>
          <w:b/>
          <w:bCs/>
        </w:rPr>
      </w:pPr>
      <w:r w:rsidRPr="00683DB7">
        <w:rPr>
          <w:rFonts w:ascii="Abadi" w:hAnsi="Abadi"/>
          <w:b/>
          <w:bCs/>
        </w:rPr>
        <w:t xml:space="preserve">Manager des services et des équipes </w:t>
      </w:r>
    </w:p>
    <w:p w14:paraId="6F4941BD" w14:textId="751D608E" w:rsidR="00D658AF" w:rsidRPr="00683DB7" w:rsidRDefault="00D658AF" w:rsidP="00683DB7">
      <w:pPr>
        <w:pStyle w:val="Paragraphedeliste"/>
        <w:numPr>
          <w:ilvl w:val="0"/>
          <w:numId w:val="3"/>
        </w:numPr>
        <w:spacing w:line="276" w:lineRule="auto"/>
        <w:jc w:val="both"/>
        <w:rPr>
          <w:rFonts w:ascii="Abadi" w:hAnsi="Abadi"/>
          <w:b/>
          <w:bCs/>
        </w:rPr>
      </w:pPr>
      <w:r w:rsidRPr="00683DB7">
        <w:rPr>
          <w:rFonts w:ascii="Abadi" w:hAnsi="Abadi"/>
          <w:b/>
          <w:bCs/>
        </w:rPr>
        <w:t xml:space="preserve">Développer des processus d’optimisation des ressources financières </w:t>
      </w:r>
    </w:p>
    <w:p w14:paraId="4EF15AF6" w14:textId="77777777" w:rsidR="00D658AF" w:rsidRPr="00683DB7" w:rsidRDefault="00D658AF" w:rsidP="00683DB7">
      <w:pPr>
        <w:pStyle w:val="Paragraphedeliste"/>
        <w:numPr>
          <w:ilvl w:val="0"/>
          <w:numId w:val="3"/>
        </w:numPr>
        <w:spacing w:line="276" w:lineRule="auto"/>
        <w:jc w:val="both"/>
        <w:rPr>
          <w:rFonts w:ascii="Abadi" w:hAnsi="Abadi"/>
          <w:b/>
          <w:bCs/>
        </w:rPr>
      </w:pPr>
      <w:r w:rsidRPr="00683DB7">
        <w:rPr>
          <w:rFonts w:ascii="Abadi" w:hAnsi="Abadi"/>
          <w:b/>
          <w:bCs/>
        </w:rPr>
        <w:t xml:space="preserve">Contribuer à l’amélioration de la qualité de service </w:t>
      </w:r>
    </w:p>
    <w:p w14:paraId="3EF5EF86" w14:textId="5780F1FF" w:rsidR="00DC1538" w:rsidRPr="00F41239" w:rsidRDefault="00D658AF" w:rsidP="00F41239">
      <w:pPr>
        <w:pStyle w:val="Paragraphedeliste"/>
        <w:numPr>
          <w:ilvl w:val="0"/>
          <w:numId w:val="3"/>
        </w:numPr>
        <w:spacing w:line="276" w:lineRule="auto"/>
        <w:jc w:val="both"/>
        <w:rPr>
          <w:rFonts w:ascii="Abadi" w:hAnsi="Abadi"/>
          <w:b/>
          <w:bCs/>
        </w:rPr>
      </w:pPr>
      <w:r w:rsidRPr="00683DB7">
        <w:rPr>
          <w:rFonts w:ascii="Abadi" w:hAnsi="Abadi"/>
          <w:b/>
          <w:bCs/>
        </w:rPr>
        <w:t>Concevoir, conduire et évaluer des projets de développement</w:t>
      </w:r>
    </w:p>
    <w:p w14:paraId="7E993406" w14:textId="5E4CEA68" w:rsidR="00F0736D" w:rsidRDefault="00DC1538" w:rsidP="00EE154E">
      <w:pPr>
        <w:spacing w:line="276" w:lineRule="auto"/>
        <w:jc w:val="both"/>
        <w:rPr>
          <w:rFonts w:ascii="Abadi" w:hAnsi="Abadi"/>
        </w:rPr>
      </w:pPr>
      <w:r w:rsidRPr="00DC1538">
        <w:rPr>
          <w:rFonts w:ascii="Abadi" w:hAnsi="Abadi"/>
        </w:rPr>
        <w:t>Les auditeurs formés deviennent des professionnels de haut niveau, polyvalents et capables de conjuguer compétences techniques et transversales, ainsi que connaissances théoriques et bonnes pratiques. Ils sont directement opérationnels dès la fin de leur formation</w:t>
      </w:r>
      <w:r w:rsidR="006A2113">
        <w:rPr>
          <w:rFonts w:ascii="Abadi" w:hAnsi="Abadi"/>
        </w:rPr>
        <w:t xml:space="preserve"> et</w:t>
      </w:r>
      <w:r w:rsidRPr="00DC1538">
        <w:rPr>
          <w:rFonts w:ascii="Abadi" w:hAnsi="Abadi"/>
        </w:rPr>
        <w:t xml:space="preserve"> prêts à relever les défis de leur environnement professionnel avec efficacité et expertise.</w:t>
      </w:r>
    </w:p>
    <w:p w14:paraId="1767ECA1" w14:textId="77777777" w:rsidR="00AE0F99" w:rsidRDefault="00AE0F99" w:rsidP="00EE154E">
      <w:pPr>
        <w:spacing w:line="276" w:lineRule="auto"/>
        <w:jc w:val="both"/>
        <w:rPr>
          <w:rFonts w:ascii="Abadi" w:hAnsi="Abadi"/>
        </w:rPr>
      </w:pPr>
    </w:p>
    <w:p w14:paraId="1E72BE6A" w14:textId="583EEF91" w:rsidR="00AE0F99" w:rsidRPr="008C5169" w:rsidRDefault="004C1103" w:rsidP="008C5169">
      <w:pPr>
        <w:shd w:val="clear" w:color="auto" w:fill="2F5496" w:themeFill="accent1" w:themeFillShade="BF"/>
        <w:rPr>
          <w:rFonts w:ascii="Abadi" w:hAnsi="Abadi"/>
          <w:color w:val="FFFFFF" w:themeColor="background1"/>
          <w:sz w:val="32"/>
          <w:szCs w:val="32"/>
        </w:rPr>
      </w:pPr>
      <w:r w:rsidRPr="00AE0F99">
        <w:rPr>
          <w:rFonts w:ascii="Abadi" w:hAnsi="Abadi"/>
          <w:color w:val="FFFFFF" w:themeColor="background1"/>
          <w:sz w:val="32"/>
          <w:szCs w:val="32"/>
        </w:rPr>
        <w:lastRenderedPageBreak/>
        <w:t xml:space="preserve">Modalités d’admission </w:t>
      </w:r>
    </w:p>
    <w:p w14:paraId="6A073EC5" w14:textId="1BDFFA50" w:rsidR="00AE0F99" w:rsidRDefault="004C1103" w:rsidP="00AE0F99">
      <w:pPr>
        <w:spacing w:line="276" w:lineRule="auto"/>
        <w:jc w:val="both"/>
        <w:rPr>
          <w:rFonts w:ascii="Abadi" w:hAnsi="Abadi"/>
        </w:rPr>
      </w:pPr>
      <w:r w:rsidRPr="004C1103">
        <w:rPr>
          <w:rFonts w:ascii="Abadi" w:hAnsi="Abadi"/>
        </w:rPr>
        <w:t>Les sélections des candidats s’effectuent sur dossier. Les candidats présélectionnés seront soumis à un test et/ou entretien d’admission définitive.</w:t>
      </w:r>
    </w:p>
    <w:p w14:paraId="6100014E" w14:textId="77777777" w:rsidR="008C5169" w:rsidRPr="004C1103" w:rsidRDefault="008C5169" w:rsidP="00AE0F99">
      <w:pPr>
        <w:spacing w:line="276" w:lineRule="auto"/>
        <w:jc w:val="both"/>
        <w:rPr>
          <w:rFonts w:ascii="Abadi" w:hAnsi="Abadi"/>
        </w:rPr>
      </w:pPr>
    </w:p>
    <w:p w14:paraId="63A30B7F" w14:textId="44DFE4CC" w:rsidR="00CF1F45" w:rsidRPr="00AE0F99" w:rsidRDefault="00CF1F45" w:rsidP="00AE0F99">
      <w:pPr>
        <w:shd w:val="clear" w:color="auto" w:fill="2F5496" w:themeFill="accent1" w:themeFillShade="BF"/>
        <w:rPr>
          <w:rFonts w:ascii="Abadi" w:hAnsi="Abadi"/>
          <w:color w:val="FFFFFF" w:themeColor="background1"/>
          <w:sz w:val="32"/>
          <w:szCs w:val="32"/>
        </w:rPr>
      </w:pPr>
      <w:r w:rsidRPr="00AE0F99">
        <w:rPr>
          <w:rFonts w:ascii="Abadi" w:hAnsi="Abadi"/>
          <w:color w:val="FFFFFF" w:themeColor="background1"/>
          <w:sz w:val="32"/>
          <w:szCs w:val="32"/>
        </w:rPr>
        <w:t xml:space="preserve">Méthode pédagogique </w:t>
      </w:r>
    </w:p>
    <w:p w14:paraId="59E2F869" w14:textId="32FFFC8F" w:rsidR="00C97E38" w:rsidRDefault="00C97E38" w:rsidP="00A17E76">
      <w:pPr>
        <w:spacing w:line="276" w:lineRule="auto"/>
        <w:jc w:val="both"/>
        <w:rPr>
          <w:rFonts w:ascii="Abadi" w:hAnsi="Abadi"/>
        </w:rPr>
      </w:pPr>
      <w:r>
        <w:rPr>
          <w:rFonts w:ascii="Abadi" w:hAnsi="Abadi"/>
        </w:rPr>
        <w:t>Les méthodes d’enseignement sont</w:t>
      </w:r>
      <w:r w:rsidR="00A17E76" w:rsidRPr="00AD54A0">
        <w:rPr>
          <w:rFonts w:ascii="Abadi" w:hAnsi="Abadi"/>
        </w:rPr>
        <w:t xml:space="preserve"> basé</w:t>
      </w:r>
      <w:r w:rsidR="00A17E76">
        <w:rPr>
          <w:rFonts w:ascii="Abadi" w:hAnsi="Abadi"/>
        </w:rPr>
        <w:t>es</w:t>
      </w:r>
      <w:r w:rsidR="00A17E76" w:rsidRPr="00AD54A0">
        <w:rPr>
          <w:rFonts w:ascii="Abadi" w:hAnsi="Abadi"/>
        </w:rPr>
        <w:t xml:space="preserve"> sur </w:t>
      </w:r>
      <w:r>
        <w:rPr>
          <w:rFonts w:ascii="Abadi" w:hAnsi="Abadi"/>
        </w:rPr>
        <w:t>l’andragogie (pédagogie des adultes).</w:t>
      </w:r>
      <w:r w:rsidR="00A17E76" w:rsidRPr="00AD54A0">
        <w:rPr>
          <w:rFonts w:ascii="Abadi" w:hAnsi="Abadi"/>
        </w:rPr>
        <w:t xml:space="preserve"> </w:t>
      </w:r>
      <w:r w:rsidRPr="00AD54A0">
        <w:rPr>
          <w:rFonts w:ascii="Abadi" w:hAnsi="Abadi"/>
        </w:rPr>
        <w:t>L</w:t>
      </w:r>
      <w:r>
        <w:rPr>
          <w:rFonts w:ascii="Abadi" w:hAnsi="Abadi"/>
        </w:rPr>
        <w:t xml:space="preserve">es </w:t>
      </w:r>
      <w:r w:rsidRPr="00C97E38">
        <w:rPr>
          <w:rFonts w:ascii="Abadi" w:hAnsi="Abadi"/>
        </w:rPr>
        <w:t xml:space="preserve">approches pédagogiques </w:t>
      </w:r>
      <w:r>
        <w:rPr>
          <w:rFonts w:ascii="Abadi" w:hAnsi="Abadi"/>
        </w:rPr>
        <w:t>privilégient</w:t>
      </w:r>
      <w:r w:rsidRPr="00C97E38">
        <w:rPr>
          <w:rFonts w:ascii="Abadi" w:hAnsi="Abadi"/>
        </w:rPr>
        <w:t xml:space="preserve"> l’interactivité afin de renforcer la participation active des auditeurs</w:t>
      </w:r>
      <w:r>
        <w:rPr>
          <w:rFonts w:ascii="Abadi" w:hAnsi="Abadi"/>
        </w:rPr>
        <w:t>. Ainsi, la formation se traduit par les éléments ci-après :</w:t>
      </w:r>
    </w:p>
    <w:p w14:paraId="56371E08" w14:textId="09625313" w:rsidR="00C97E38" w:rsidRDefault="00C97E38" w:rsidP="00C97E38">
      <w:pPr>
        <w:pStyle w:val="Paragraphedeliste"/>
        <w:numPr>
          <w:ilvl w:val="0"/>
          <w:numId w:val="3"/>
        </w:numPr>
        <w:spacing w:line="276" w:lineRule="auto"/>
        <w:jc w:val="both"/>
        <w:rPr>
          <w:rFonts w:ascii="Abadi" w:hAnsi="Abadi"/>
        </w:rPr>
      </w:pPr>
      <w:r>
        <w:rPr>
          <w:rFonts w:ascii="Abadi" w:hAnsi="Abadi"/>
        </w:rPr>
        <w:t>Formation en présentiel </w:t>
      </w:r>
    </w:p>
    <w:p w14:paraId="799AB87E" w14:textId="2407388D" w:rsidR="00C97E38" w:rsidRDefault="00C97E38" w:rsidP="00C97E38">
      <w:pPr>
        <w:pStyle w:val="Paragraphedeliste"/>
        <w:numPr>
          <w:ilvl w:val="0"/>
          <w:numId w:val="3"/>
        </w:numPr>
        <w:spacing w:line="276" w:lineRule="auto"/>
        <w:jc w:val="both"/>
        <w:rPr>
          <w:rFonts w:ascii="Abadi" w:hAnsi="Abadi"/>
        </w:rPr>
      </w:pPr>
      <w:r>
        <w:rPr>
          <w:rFonts w:ascii="Abadi" w:hAnsi="Abadi"/>
        </w:rPr>
        <w:t>Usage des ressources et d’outils numériques</w:t>
      </w:r>
    </w:p>
    <w:p w14:paraId="6702C61D" w14:textId="4AB45986" w:rsidR="00C97E38" w:rsidRDefault="00C97E38" w:rsidP="00C97E38">
      <w:pPr>
        <w:pStyle w:val="Paragraphedeliste"/>
        <w:numPr>
          <w:ilvl w:val="0"/>
          <w:numId w:val="3"/>
        </w:numPr>
        <w:spacing w:line="276" w:lineRule="auto"/>
        <w:jc w:val="both"/>
        <w:rPr>
          <w:rFonts w:ascii="Abadi" w:hAnsi="Abadi"/>
        </w:rPr>
      </w:pPr>
      <w:r>
        <w:rPr>
          <w:rFonts w:ascii="Abadi" w:hAnsi="Abadi"/>
        </w:rPr>
        <w:t>Jeu</w:t>
      </w:r>
      <w:r w:rsidR="00BD74A4">
        <w:rPr>
          <w:rFonts w:ascii="Abadi" w:hAnsi="Abadi"/>
        </w:rPr>
        <w:t>x</w:t>
      </w:r>
      <w:r>
        <w:rPr>
          <w:rFonts w:ascii="Abadi" w:hAnsi="Abadi"/>
        </w:rPr>
        <w:t xml:space="preserve"> de rôle</w:t>
      </w:r>
      <w:r w:rsidR="00556534">
        <w:rPr>
          <w:rFonts w:ascii="Abadi" w:hAnsi="Abadi"/>
        </w:rPr>
        <w:t>, simulation</w:t>
      </w:r>
      <w:r w:rsidR="00BD74A4">
        <w:rPr>
          <w:rFonts w:ascii="Abadi" w:hAnsi="Abadi"/>
        </w:rPr>
        <w:t>s</w:t>
      </w:r>
      <w:r>
        <w:rPr>
          <w:rFonts w:ascii="Abadi" w:hAnsi="Abadi"/>
        </w:rPr>
        <w:t xml:space="preserve"> et mise</w:t>
      </w:r>
      <w:r w:rsidR="00BD74A4">
        <w:rPr>
          <w:rFonts w:ascii="Abadi" w:hAnsi="Abadi"/>
        </w:rPr>
        <w:t>s</w:t>
      </w:r>
      <w:r>
        <w:rPr>
          <w:rFonts w:ascii="Abadi" w:hAnsi="Abadi"/>
        </w:rPr>
        <w:t xml:space="preserve"> en situation</w:t>
      </w:r>
    </w:p>
    <w:p w14:paraId="5353704C" w14:textId="3B9A8367" w:rsidR="00556534" w:rsidRDefault="00556534" w:rsidP="00C97E38">
      <w:pPr>
        <w:pStyle w:val="Paragraphedeliste"/>
        <w:numPr>
          <w:ilvl w:val="0"/>
          <w:numId w:val="3"/>
        </w:numPr>
        <w:spacing w:line="276" w:lineRule="auto"/>
        <w:jc w:val="both"/>
        <w:rPr>
          <w:rFonts w:ascii="Abadi" w:hAnsi="Abadi"/>
        </w:rPr>
      </w:pPr>
      <w:r>
        <w:rPr>
          <w:rFonts w:ascii="Abadi" w:hAnsi="Abadi"/>
        </w:rPr>
        <w:t>Exercice</w:t>
      </w:r>
      <w:r w:rsidR="00BD74A4">
        <w:rPr>
          <w:rFonts w:ascii="Abadi" w:hAnsi="Abadi"/>
        </w:rPr>
        <w:t>s</w:t>
      </w:r>
      <w:r>
        <w:rPr>
          <w:rFonts w:ascii="Abadi" w:hAnsi="Abadi"/>
        </w:rPr>
        <w:t xml:space="preserve"> individuel</w:t>
      </w:r>
      <w:r w:rsidR="00BD74A4">
        <w:rPr>
          <w:rFonts w:ascii="Abadi" w:hAnsi="Abadi"/>
        </w:rPr>
        <w:t>s</w:t>
      </w:r>
      <w:r>
        <w:rPr>
          <w:rFonts w:ascii="Abadi" w:hAnsi="Abadi"/>
        </w:rPr>
        <w:t xml:space="preserve"> et travaux en équipe</w:t>
      </w:r>
    </w:p>
    <w:p w14:paraId="44CB786C" w14:textId="1C19A6CB" w:rsidR="00556534" w:rsidRDefault="00556534" w:rsidP="00C97E38">
      <w:pPr>
        <w:pStyle w:val="Paragraphedeliste"/>
        <w:numPr>
          <w:ilvl w:val="0"/>
          <w:numId w:val="3"/>
        </w:numPr>
        <w:spacing w:line="276" w:lineRule="auto"/>
        <w:jc w:val="both"/>
        <w:rPr>
          <w:rFonts w:ascii="Abadi" w:hAnsi="Abadi"/>
        </w:rPr>
      </w:pPr>
      <w:r>
        <w:rPr>
          <w:rFonts w:ascii="Abadi" w:hAnsi="Abadi"/>
        </w:rPr>
        <w:t>Séminaire</w:t>
      </w:r>
      <w:r w:rsidR="00BD74A4">
        <w:rPr>
          <w:rFonts w:ascii="Abadi" w:hAnsi="Abadi"/>
        </w:rPr>
        <w:t>s</w:t>
      </w:r>
      <w:r>
        <w:rPr>
          <w:rFonts w:ascii="Abadi" w:hAnsi="Abadi"/>
        </w:rPr>
        <w:t xml:space="preserve"> </w:t>
      </w:r>
    </w:p>
    <w:p w14:paraId="303AC54A" w14:textId="77777777" w:rsidR="00AE0F99" w:rsidRPr="00C97E38" w:rsidRDefault="00AE0F99" w:rsidP="00AE0F99">
      <w:pPr>
        <w:pStyle w:val="Paragraphedeliste"/>
        <w:spacing w:line="276" w:lineRule="auto"/>
        <w:jc w:val="both"/>
        <w:rPr>
          <w:rFonts w:ascii="Abadi" w:hAnsi="Abadi"/>
        </w:rPr>
      </w:pPr>
    </w:p>
    <w:p w14:paraId="6CBF161C" w14:textId="1882E198" w:rsidR="00BD74A4" w:rsidRPr="008C5169" w:rsidRDefault="00EE154E" w:rsidP="008C5169">
      <w:pPr>
        <w:shd w:val="clear" w:color="auto" w:fill="2F5496" w:themeFill="accent1" w:themeFillShade="BF"/>
        <w:rPr>
          <w:rFonts w:ascii="Abadi" w:hAnsi="Abadi"/>
          <w:color w:val="FFFFFF" w:themeColor="background1"/>
          <w:sz w:val="32"/>
          <w:szCs w:val="32"/>
        </w:rPr>
      </w:pPr>
      <w:r w:rsidRPr="00AE0F99">
        <w:rPr>
          <w:rFonts w:ascii="Abadi" w:hAnsi="Abadi"/>
          <w:color w:val="FFFFFF" w:themeColor="background1"/>
          <w:sz w:val="32"/>
          <w:szCs w:val="32"/>
        </w:rPr>
        <w:t xml:space="preserve">Publics concernés </w:t>
      </w:r>
    </w:p>
    <w:p w14:paraId="23F39A2F" w14:textId="270E5AD3" w:rsidR="00487911" w:rsidRPr="009502BA" w:rsidRDefault="00487911" w:rsidP="00487911">
      <w:pPr>
        <w:pStyle w:val="Paragraphedeliste"/>
        <w:numPr>
          <w:ilvl w:val="0"/>
          <w:numId w:val="1"/>
        </w:numPr>
        <w:spacing w:line="276" w:lineRule="auto"/>
        <w:rPr>
          <w:rFonts w:ascii="Abadi" w:hAnsi="Abadi"/>
        </w:rPr>
      </w:pPr>
      <w:r w:rsidRPr="009502BA">
        <w:rPr>
          <w:rFonts w:ascii="Abadi" w:hAnsi="Abadi"/>
        </w:rPr>
        <w:t>Cadres du secteur public et parapublic</w:t>
      </w:r>
    </w:p>
    <w:p w14:paraId="536EAFE0" w14:textId="77777777" w:rsidR="00487911" w:rsidRDefault="00487911" w:rsidP="00487911">
      <w:pPr>
        <w:pStyle w:val="Paragraphedeliste"/>
        <w:numPr>
          <w:ilvl w:val="0"/>
          <w:numId w:val="1"/>
        </w:numPr>
        <w:spacing w:line="276" w:lineRule="auto"/>
        <w:rPr>
          <w:rFonts w:ascii="Abadi" w:hAnsi="Abadi"/>
        </w:rPr>
      </w:pPr>
      <w:r w:rsidRPr="009502BA">
        <w:rPr>
          <w:rFonts w:ascii="Abadi" w:hAnsi="Abadi"/>
        </w:rPr>
        <w:t xml:space="preserve">Cadres du secteur privé </w:t>
      </w:r>
      <w:r>
        <w:rPr>
          <w:rFonts w:ascii="Abadi" w:hAnsi="Abadi"/>
        </w:rPr>
        <w:t>ou de la société civile interagissant avec le secteur public</w:t>
      </w:r>
    </w:p>
    <w:p w14:paraId="597D6D8B" w14:textId="77777777" w:rsidR="00BD74A4" w:rsidRPr="009502BA" w:rsidRDefault="00BD74A4" w:rsidP="00BD74A4">
      <w:pPr>
        <w:pStyle w:val="Paragraphedeliste"/>
        <w:spacing w:line="276" w:lineRule="auto"/>
        <w:rPr>
          <w:rFonts w:ascii="Abadi" w:hAnsi="Abadi"/>
        </w:rPr>
      </w:pPr>
    </w:p>
    <w:p w14:paraId="265CBD12" w14:textId="7E64CC8B" w:rsidR="00BD74A4" w:rsidRPr="008C5169" w:rsidRDefault="00EE154E" w:rsidP="008C5169">
      <w:pPr>
        <w:shd w:val="clear" w:color="auto" w:fill="2F5496" w:themeFill="accent1" w:themeFillShade="BF"/>
        <w:rPr>
          <w:rFonts w:ascii="Abadi" w:hAnsi="Abadi"/>
          <w:color w:val="FFFFFF" w:themeColor="background1"/>
          <w:sz w:val="32"/>
          <w:szCs w:val="32"/>
        </w:rPr>
      </w:pPr>
      <w:r w:rsidRPr="00AE0F99">
        <w:rPr>
          <w:rFonts w:ascii="Abadi" w:hAnsi="Abadi"/>
          <w:color w:val="FFFFFF" w:themeColor="background1"/>
          <w:sz w:val="32"/>
          <w:szCs w:val="32"/>
        </w:rPr>
        <w:t xml:space="preserve">Prérequis de la formation </w:t>
      </w:r>
    </w:p>
    <w:p w14:paraId="6EFFEB71" w14:textId="6056FCB3" w:rsidR="00CC1B33" w:rsidRDefault="00CC1B33" w:rsidP="00CC1B33">
      <w:pPr>
        <w:pStyle w:val="Paragraphedeliste"/>
        <w:numPr>
          <w:ilvl w:val="0"/>
          <w:numId w:val="1"/>
        </w:numPr>
        <w:spacing w:line="276" w:lineRule="auto"/>
        <w:rPr>
          <w:rFonts w:ascii="Abadi" w:hAnsi="Abadi"/>
        </w:rPr>
      </w:pPr>
      <w:r w:rsidRPr="009502BA">
        <w:rPr>
          <w:rFonts w:ascii="Abadi" w:hAnsi="Abadi"/>
        </w:rPr>
        <w:t xml:space="preserve">Avoir au minimum Bac + 4 </w:t>
      </w:r>
      <w:r>
        <w:rPr>
          <w:rFonts w:ascii="Abadi" w:hAnsi="Abadi"/>
        </w:rPr>
        <w:t xml:space="preserve">ou équivalent </w:t>
      </w:r>
      <w:r w:rsidRPr="009502BA">
        <w:rPr>
          <w:rFonts w:ascii="Abadi" w:hAnsi="Abadi"/>
        </w:rPr>
        <w:t xml:space="preserve">en Droit, Économie, Gestion… ou tout autre </w:t>
      </w:r>
      <w:r>
        <w:rPr>
          <w:rFonts w:ascii="Abadi" w:hAnsi="Abadi"/>
        </w:rPr>
        <w:t>domaine</w:t>
      </w:r>
      <w:r w:rsidR="00BD74A4">
        <w:rPr>
          <w:rFonts w:ascii="Abadi" w:hAnsi="Abadi"/>
        </w:rPr>
        <w:t xml:space="preserve"> pertinent</w:t>
      </w:r>
    </w:p>
    <w:p w14:paraId="568CC048" w14:textId="70B967F7" w:rsidR="00010517" w:rsidRDefault="00010517" w:rsidP="00CC1B33">
      <w:pPr>
        <w:pStyle w:val="Paragraphedeliste"/>
        <w:numPr>
          <w:ilvl w:val="0"/>
          <w:numId w:val="1"/>
        </w:numPr>
        <w:spacing w:line="276" w:lineRule="auto"/>
        <w:rPr>
          <w:rFonts w:ascii="Abadi" w:hAnsi="Abadi"/>
        </w:rPr>
      </w:pPr>
      <w:r>
        <w:rPr>
          <w:rFonts w:ascii="Abadi" w:hAnsi="Abadi"/>
        </w:rPr>
        <w:t>Pour les fonctionnaires et contractuels des services publics de l’État, avoir au moins 5 ans d’ancienneté</w:t>
      </w:r>
    </w:p>
    <w:p w14:paraId="55BAB4BD" w14:textId="77777777" w:rsidR="00BD74A4" w:rsidRDefault="00BD74A4" w:rsidP="00BD74A4">
      <w:pPr>
        <w:pStyle w:val="Paragraphedeliste"/>
        <w:spacing w:line="276" w:lineRule="auto"/>
        <w:rPr>
          <w:rFonts w:ascii="Abadi" w:hAnsi="Abadi"/>
        </w:rPr>
      </w:pPr>
    </w:p>
    <w:p w14:paraId="0B9EE791" w14:textId="7C07F890" w:rsidR="00BD74A4" w:rsidRPr="008C5169" w:rsidRDefault="00EE154E" w:rsidP="008C5169">
      <w:pPr>
        <w:shd w:val="clear" w:color="auto" w:fill="2F5496" w:themeFill="accent1" w:themeFillShade="BF"/>
        <w:spacing w:line="276" w:lineRule="auto"/>
        <w:rPr>
          <w:rFonts w:ascii="Abadi" w:hAnsi="Abadi"/>
          <w:color w:val="FFFFFF" w:themeColor="background1"/>
          <w:sz w:val="32"/>
          <w:szCs w:val="32"/>
        </w:rPr>
      </w:pPr>
      <w:r w:rsidRPr="00AE0F99">
        <w:rPr>
          <w:rFonts w:ascii="Abadi" w:hAnsi="Abadi"/>
          <w:color w:val="FFFFFF" w:themeColor="background1"/>
          <w:sz w:val="32"/>
          <w:szCs w:val="32"/>
        </w:rPr>
        <w:t xml:space="preserve">Frais d’inscription </w:t>
      </w:r>
    </w:p>
    <w:p w14:paraId="6FE156A4" w14:textId="76B4A806" w:rsidR="00E9303A" w:rsidRPr="00BD74A4" w:rsidRDefault="00010517" w:rsidP="008C5169">
      <w:pPr>
        <w:spacing w:line="276" w:lineRule="auto"/>
        <w:jc w:val="both"/>
        <w:rPr>
          <w:rFonts w:ascii="Abadi" w:hAnsi="Abadi"/>
        </w:rPr>
      </w:pPr>
      <w:r w:rsidRPr="00556534">
        <w:rPr>
          <w:rFonts w:ascii="Abadi" w:hAnsi="Abadi"/>
        </w:rPr>
        <w:t xml:space="preserve">Les frais de formation s’élèvent à </w:t>
      </w:r>
      <w:r w:rsidRPr="008C5169">
        <w:rPr>
          <w:rFonts w:ascii="Abadi" w:hAnsi="Abadi"/>
          <w:b/>
          <w:bCs/>
        </w:rPr>
        <w:t>900 000 Fcfa/semestre, soit 1 800 000 Fcfa</w:t>
      </w:r>
      <w:r w:rsidRPr="00556534">
        <w:rPr>
          <w:rFonts w:ascii="Abadi" w:hAnsi="Abadi"/>
        </w:rPr>
        <w:t xml:space="preserve"> pour la durée totale de la formation.</w:t>
      </w:r>
      <w:r w:rsidR="009C21EB" w:rsidRPr="00BD74A4">
        <w:rPr>
          <w:rFonts w:ascii="Abadi" w:hAnsi="Abadi"/>
        </w:rPr>
        <w:t xml:space="preserve"> Les candidats sont invités à s’assurer eux-mêmes du financement de leur formation, la prise en charge partielle ou totale par l’employeur ou l’institution d’appartenance étant privilégiée. </w:t>
      </w:r>
    </w:p>
    <w:p w14:paraId="3785E7E7" w14:textId="77777777" w:rsidR="00BD74A4" w:rsidRPr="00AE0F99" w:rsidRDefault="00BD74A4" w:rsidP="008C5169">
      <w:pPr>
        <w:spacing w:line="276" w:lineRule="auto"/>
        <w:jc w:val="both"/>
        <w:rPr>
          <w:rFonts w:ascii="Arial" w:hAnsi="Arial" w:cs="Arial"/>
          <w:color w:val="292929"/>
          <w:sz w:val="27"/>
          <w:szCs w:val="27"/>
          <w:bdr w:val="none" w:sz="0" w:space="0" w:color="auto" w:frame="1"/>
        </w:rPr>
      </w:pPr>
    </w:p>
    <w:p w14:paraId="38DA7860" w14:textId="58D7A71E" w:rsidR="00AE0F99" w:rsidRPr="008C5169" w:rsidRDefault="00556534" w:rsidP="008C5169">
      <w:pPr>
        <w:shd w:val="clear" w:color="auto" w:fill="2F5496" w:themeFill="accent1" w:themeFillShade="BF"/>
        <w:spacing w:line="276" w:lineRule="auto"/>
        <w:rPr>
          <w:rFonts w:ascii="Abadi" w:hAnsi="Abadi"/>
          <w:color w:val="FFFFFF" w:themeColor="background1"/>
          <w:sz w:val="32"/>
          <w:szCs w:val="32"/>
        </w:rPr>
      </w:pPr>
      <w:r w:rsidRPr="00AE0F99">
        <w:rPr>
          <w:rFonts w:ascii="Abadi" w:hAnsi="Abadi"/>
          <w:color w:val="FFFFFF" w:themeColor="background1"/>
          <w:sz w:val="32"/>
          <w:szCs w:val="32"/>
        </w:rPr>
        <w:t>Déroulement de la formation</w:t>
      </w:r>
    </w:p>
    <w:p w14:paraId="409160E3" w14:textId="728B02B7" w:rsidR="008C5169" w:rsidRDefault="00556534" w:rsidP="008C5169">
      <w:pPr>
        <w:pStyle w:val="NormalWeb"/>
        <w:spacing w:before="0" w:after="0" w:line="276" w:lineRule="auto"/>
        <w:jc w:val="both"/>
        <w:rPr>
          <w:rFonts w:ascii="Abadi" w:hAnsi="Abadi"/>
        </w:rPr>
      </w:pPr>
      <w:r w:rsidRPr="00556534">
        <w:rPr>
          <w:rFonts w:ascii="Abadi" w:hAnsi="Abadi"/>
        </w:rPr>
        <w:t xml:space="preserve">La formation </w:t>
      </w:r>
      <w:r>
        <w:rPr>
          <w:rFonts w:ascii="Abadi" w:hAnsi="Abadi"/>
        </w:rPr>
        <w:t>est</w:t>
      </w:r>
      <w:r w:rsidRPr="00556534">
        <w:rPr>
          <w:rFonts w:ascii="Abadi" w:hAnsi="Abadi"/>
        </w:rPr>
        <w:t xml:space="preserve"> organisée en deux </w:t>
      </w:r>
      <w:r w:rsidR="008C5169">
        <w:rPr>
          <w:rFonts w:ascii="Abadi" w:hAnsi="Abadi"/>
        </w:rPr>
        <w:t xml:space="preserve">(2) </w:t>
      </w:r>
      <w:r w:rsidRPr="00556534">
        <w:rPr>
          <w:rFonts w:ascii="Abadi" w:hAnsi="Abadi"/>
        </w:rPr>
        <w:t>semestres associant un module d’enseignements fondamentaux, un module d’enseignements transversaux et un module d’enseignements complémentaires</w:t>
      </w:r>
      <w:r>
        <w:rPr>
          <w:rFonts w:ascii="Abadi" w:hAnsi="Abadi"/>
        </w:rPr>
        <w:t xml:space="preserve">. </w:t>
      </w:r>
      <w:r w:rsidR="008C5169">
        <w:rPr>
          <w:rFonts w:ascii="Abadi" w:hAnsi="Abadi"/>
        </w:rPr>
        <w:t xml:space="preserve">L’organisation des cours rend compatible le suivi des études avec une activité professionnelle. </w:t>
      </w:r>
      <w:r w:rsidR="008C5169" w:rsidRPr="009C21EB">
        <w:rPr>
          <w:rFonts w:ascii="Abadi" w:hAnsi="Abadi"/>
        </w:rPr>
        <w:t>S’adressant très majoritairement à des professionnels en activité, les enseignements seront dispensés en cours du soir</w:t>
      </w:r>
      <w:r w:rsidR="008C5169">
        <w:rPr>
          <w:rFonts w:ascii="Abadi" w:hAnsi="Abadi"/>
        </w:rPr>
        <w:t xml:space="preserve">, </w:t>
      </w:r>
      <w:r w:rsidR="008C5169" w:rsidRPr="008C5169">
        <w:rPr>
          <w:rFonts w:ascii="Abadi" w:hAnsi="Abadi"/>
          <w:b/>
          <w:bCs/>
        </w:rPr>
        <w:t>du lundi au vendredi, de 16h à 20h30.</w:t>
      </w:r>
      <w:r w:rsidR="008C5169" w:rsidRPr="009C21EB">
        <w:rPr>
          <w:rFonts w:ascii="Abadi" w:hAnsi="Abadi"/>
        </w:rPr>
        <w:t xml:space="preserve"> Un stage </w:t>
      </w:r>
      <w:r w:rsidR="008C5169">
        <w:rPr>
          <w:rFonts w:ascii="Abadi" w:hAnsi="Abadi"/>
        </w:rPr>
        <w:t>est</w:t>
      </w:r>
      <w:r w:rsidR="008C5169" w:rsidRPr="009C21EB">
        <w:rPr>
          <w:rFonts w:ascii="Abadi" w:hAnsi="Abadi"/>
        </w:rPr>
        <w:t xml:space="preserve"> obligatoire pour les auditeurs qui se trouveraient, le cas échéant, sans activité professionnelle</w:t>
      </w:r>
      <w:r w:rsidR="008C5169">
        <w:rPr>
          <w:rFonts w:ascii="Abadi" w:hAnsi="Abadi"/>
        </w:rPr>
        <w:t xml:space="preserve">. </w:t>
      </w:r>
      <w:r>
        <w:rPr>
          <w:rFonts w:ascii="Abadi" w:hAnsi="Abadi"/>
        </w:rPr>
        <w:t xml:space="preserve">Les auditeurs rédigent un mémoire à la fin de formation </w:t>
      </w:r>
      <w:r w:rsidRPr="00556534">
        <w:rPr>
          <w:rFonts w:ascii="Abadi" w:hAnsi="Abadi"/>
        </w:rPr>
        <w:t>qui sera soutenu devant un jury.</w:t>
      </w:r>
      <w:r>
        <w:rPr>
          <w:rFonts w:ascii="Abadi" w:hAnsi="Abadi"/>
        </w:rPr>
        <w:t xml:space="preserve"> </w:t>
      </w:r>
    </w:p>
    <w:p w14:paraId="23B17181" w14:textId="6FC616DA" w:rsidR="005C1945" w:rsidRDefault="004A6DF3" w:rsidP="008C5169">
      <w:pPr>
        <w:pStyle w:val="NormalWeb"/>
        <w:spacing w:before="0" w:after="0" w:line="276" w:lineRule="auto"/>
        <w:jc w:val="both"/>
        <w:rPr>
          <w:rFonts w:ascii="Abadi" w:hAnsi="Abadi"/>
        </w:rPr>
      </w:pPr>
      <w:r>
        <w:rPr>
          <w:rFonts w:ascii="Abadi" w:hAnsi="Abadi"/>
        </w:rPr>
        <w:lastRenderedPageBreak/>
        <w:t xml:space="preserve">Ancré dans les réalités professionnelles, </w:t>
      </w:r>
      <w:r w:rsidR="00556534">
        <w:rPr>
          <w:rFonts w:ascii="Abadi" w:hAnsi="Abadi"/>
        </w:rPr>
        <w:t>la formation</w:t>
      </w:r>
      <w:r>
        <w:rPr>
          <w:rFonts w:ascii="Abadi" w:hAnsi="Abadi"/>
        </w:rPr>
        <w:t xml:space="preserve"> réunit des enseignants issus de la haute administration publique, </w:t>
      </w:r>
      <w:r w:rsidR="008C5169">
        <w:rPr>
          <w:rFonts w:ascii="Abadi" w:hAnsi="Abadi"/>
        </w:rPr>
        <w:t>des séminaristes issus des institution partenaire</w:t>
      </w:r>
      <w:r w:rsidR="00D50993">
        <w:rPr>
          <w:rFonts w:ascii="Abadi" w:hAnsi="Abadi"/>
        </w:rPr>
        <w:t>s</w:t>
      </w:r>
      <w:r w:rsidR="008C5169">
        <w:rPr>
          <w:rFonts w:ascii="Abadi" w:hAnsi="Abadi"/>
        </w:rPr>
        <w:t xml:space="preserve"> de l’ENA, </w:t>
      </w:r>
      <w:r>
        <w:rPr>
          <w:rFonts w:ascii="Abadi" w:hAnsi="Abadi"/>
        </w:rPr>
        <w:t>des consultants</w:t>
      </w:r>
      <w:r w:rsidR="006C0CB2">
        <w:rPr>
          <w:rFonts w:ascii="Abadi" w:hAnsi="Abadi"/>
        </w:rPr>
        <w:t>, des</w:t>
      </w:r>
      <w:r>
        <w:rPr>
          <w:rFonts w:ascii="Abadi" w:hAnsi="Abadi"/>
        </w:rPr>
        <w:t xml:space="preserve"> fonctionnaires internationaux</w:t>
      </w:r>
      <w:r w:rsidR="00556534">
        <w:rPr>
          <w:rFonts w:ascii="Abadi" w:hAnsi="Abadi"/>
        </w:rPr>
        <w:t xml:space="preserve"> et</w:t>
      </w:r>
      <w:r>
        <w:rPr>
          <w:rFonts w:ascii="Abadi" w:hAnsi="Abadi"/>
        </w:rPr>
        <w:t xml:space="preserve"> des universitaires.</w:t>
      </w:r>
    </w:p>
    <w:p w14:paraId="1AAD5B4A" w14:textId="77777777" w:rsidR="006C0CB2" w:rsidRDefault="006C0CB2" w:rsidP="008C5169">
      <w:pPr>
        <w:pStyle w:val="NormalWeb"/>
        <w:spacing w:before="0" w:after="0" w:line="276" w:lineRule="auto"/>
        <w:jc w:val="both"/>
        <w:rPr>
          <w:rFonts w:ascii="Abadi" w:hAnsi="Abadi"/>
        </w:rPr>
      </w:pPr>
    </w:p>
    <w:p w14:paraId="76A4D02C" w14:textId="64331F02" w:rsidR="00AE0F99" w:rsidRPr="008C5169" w:rsidRDefault="005C1945" w:rsidP="008C5169">
      <w:pPr>
        <w:shd w:val="clear" w:color="auto" w:fill="2F5496" w:themeFill="accent1" w:themeFillShade="BF"/>
        <w:spacing w:line="276" w:lineRule="auto"/>
        <w:rPr>
          <w:rFonts w:ascii="Abadi" w:hAnsi="Abadi"/>
          <w:color w:val="FFFFFF" w:themeColor="background1"/>
          <w:sz w:val="32"/>
          <w:szCs w:val="32"/>
        </w:rPr>
      </w:pPr>
      <w:r w:rsidRPr="00AE0F99">
        <w:rPr>
          <w:rFonts w:ascii="Abadi" w:hAnsi="Abadi"/>
          <w:color w:val="FFFFFF" w:themeColor="background1"/>
          <w:sz w:val="32"/>
          <w:szCs w:val="32"/>
        </w:rPr>
        <w:t xml:space="preserve">Réception de candidatures </w:t>
      </w:r>
    </w:p>
    <w:p w14:paraId="36F9AF28" w14:textId="3048DF21" w:rsidR="009C21EB" w:rsidRPr="009C21EB" w:rsidRDefault="009C21EB" w:rsidP="008C5169">
      <w:pPr>
        <w:pStyle w:val="NormalWeb"/>
        <w:spacing w:before="0" w:after="0" w:line="276" w:lineRule="auto"/>
        <w:jc w:val="both"/>
        <w:rPr>
          <w:rFonts w:ascii="Abadi" w:hAnsi="Abadi"/>
        </w:rPr>
      </w:pPr>
      <w:r w:rsidRPr="009C21EB">
        <w:rPr>
          <w:rFonts w:ascii="Abadi" w:hAnsi="Abadi"/>
        </w:rPr>
        <w:t xml:space="preserve">Le dépôt de dossiers se fait à l’ENA entre 09h et 16h du lundi au vendredi, du </w:t>
      </w:r>
      <w:r>
        <w:rPr>
          <w:rFonts w:ascii="Abadi" w:hAnsi="Abadi"/>
        </w:rPr>
        <w:t>30</w:t>
      </w:r>
      <w:r w:rsidRPr="009C21EB">
        <w:rPr>
          <w:rFonts w:ascii="Abadi" w:hAnsi="Abadi"/>
        </w:rPr>
        <w:t xml:space="preserve"> </w:t>
      </w:r>
      <w:r>
        <w:rPr>
          <w:rFonts w:ascii="Abadi" w:hAnsi="Abadi"/>
        </w:rPr>
        <w:t>mai</w:t>
      </w:r>
      <w:r w:rsidRPr="009C21EB">
        <w:rPr>
          <w:rFonts w:ascii="Abadi" w:hAnsi="Abadi"/>
        </w:rPr>
        <w:t xml:space="preserve"> au </w:t>
      </w:r>
      <w:r>
        <w:rPr>
          <w:rFonts w:ascii="Abadi" w:hAnsi="Abadi"/>
        </w:rPr>
        <w:t>28 juin</w:t>
      </w:r>
      <w:r w:rsidRPr="009C21EB">
        <w:rPr>
          <w:rFonts w:ascii="Abadi" w:hAnsi="Abadi"/>
        </w:rPr>
        <w:t xml:space="preserve"> 202</w:t>
      </w:r>
      <w:r>
        <w:rPr>
          <w:rFonts w:ascii="Abadi" w:hAnsi="Abadi"/>
        </w:rPr>
        <w:t>4</w:t>
      </w:r>
    </w:p>
    <w:p w14:paraId="4E3D0DA3" w14:textId="77777777" w:rsidR="006C0CB2" w:rsidRDefault="006C0CB2" w:rsidP="00E9303A">
      <w:pPr>
        <w:pStyle w:val="NormalWeb"/>
        <w:spacing w:before="0" w:after="0"/>
        <w:jc w:val="both"/>
        <w:rPr>
          <w:rFonts w:ascii="Abadi" w:hAnsi="Abadi"/>
        </w:rPr>
      </w:pPr>
    </w:p>
    <w:p w14:paraId="335E4E40" w14:textId="6C95E55D" w:rsidR="006C0CB2" w:rsidRPr="00AE0F99" w:rsidRDefault="006C0CB2" w:rsidP="00AE0F99">
      <w:pPr>
        <w:shd w:val="clear" w:color="auto" w:fill="2F5496" w:themeFill="accent1" w:themeFillShade="BF"/>
        <w:rPr>
          <w:rFonts w:ascii="Abadi" w:hAnsi="Abadi"/>
          <w:color w:val="FFFFFF" w:themeColor="background1"/>
          <w:sz w:val="32"/>
          <w:szCs w:val="32"/>
        </w:rPr>
      </w:pPr>
      <w:r w:rsidRPr="00AE0F99">
        <w:rPr>
          <w:rFonts w:ascii="Abadi" w:hAnsi="Abadi"/>
          <w:color w:val="FFFFFF" w:themeColor="background1"/>
          <w:sz w:val="32"/>
          <w:szCs w:val="32"/>
        </w:rPr>
        <w:t xml:space="preserve">Contact </w:t>
      </w:r>
    </w:p>
    <w:p w14:paraId="4B107973" w14:textId="74E32005" w:rsidR="00AE0F99" w:rsidRDefault="00000000" w:rsidP="003473F3">
      <w:pPr>
        <w:spacing w:line="276" w:lineRule="auto"/>
        <w:rPr>
          <w:rFonts w:ascii="Abadi" w:hAnsi="Abadi"/>
        </w:rPr>
      </w:pPr>
      <w:hyperlink r:id="rId10" w:history="1">
        <w:r w:rsidR="009231BD" w:rsidRPr="005E3596">
          <w:rPr>
            <w:rStyle w:val="Lienhypertexte"/>
            <w:rFonts w:ascii="Abadi" w:hAnsi="Abadi"/>
          </w:rPr>
          <w:t>ena@contact.td</w:t>
        </w:r>
      </w:hyperlink>
      <w:r w:rsidR="00833390">
        <w:rPr>
          <w:rFonts w:ascii="Abadi" w:hAnsi="Abadi"/>
        </w:rPr>
        <w:t xml:space="preserve"> </w:t>
      </w:r>
    </w:p>
    <w:p w14:paraId="6B151FBD" w14:textId="77777777" w:rsidR="008C5169" w:rsidRDefault="008C5169" w:rsidP="003473F3">
      <w:pPr>
        <w:spacing w:line="276" w:lineRule="auto"/>
        <w:rPr>
          <w:rFonts w:ascii="Abadi" w:hAnsi="Abadi"/>
        </w:rPr>
      </w:pPr>
    </w:p>
    <w:p w14:paraId="4C79E0D0" w14:textId="1E432BA0" w:rsidR="00AE0F99" w:rsidRPr="00AE0F99" w:rsidRDefault="00AE0F99" w:rsidP="00AE0F99">
      <w:pPr>
        <w:shd w:val="clear" w:color="auto" w:fill="2F5496" w:themeFill="accent1" w:themeFillShade="BF"/>
        <w:spacing w:line="259" w:lineRule="auto"/>
        <w:rPr>
          <w:rFonts w:ascii="Abadi" w:hAnsi="Abadi"/>
          <w:color w:val="FFFFFF" w:themeColor="background1"/>
          <w:sz w:val="32"/>
          <w:szCs w:val="32"/>
        </w:rPr>
      </w:pPr>
      <w:r>
        <w:rPr>
          <w:rFonts w:ascii="Abadi" w:hAnsi="Abadi"/>
          <w:color w:val="FFFFFF" w:themeColor="background1"/>
          <w:sz w:val="32"/>
          <w:szCs w:val="32"/>
        </w:rPr>
        <w:t>Contenu de la formation</w:t>
      </w:r>
    </w:p>
    <w:p w14:paraId="14F051E6" w14:textId="77777777" w:rsidR="00AE0F99" w:rsidRDefault="00AE0F99" w:rsidP="003473F3">
      <w:pPr>
        <w:spacing w:line="276" w:lineRule="auto"/>
        <w:rPr>
          <w:rFonts w:ascii="Abadi" w:hAnsi="Abad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567"/>
        <w:gridCol w:w="567"/>
        <w:gridCol w:w="850"/>
      </w:tblGrid>
      <w:tr w:rsidR="00AE0F99" w:rsidRPr="00AE0F99" w14:paraId="02F50777" w14:textId="77777777" w:rsidTr="00AE0F99">
        <w:trPr>
          <w:trHeight w:val="675"/>
        </w:trPr>
        <w:tc>
          <w:tcPr>
            <w:tcW w:w="9067" w:type="dxa"/>
            <w:gridSpan w:val="4"/>
            <w:shd w:val="clear" w:color="3D85C6" w:fill="203764"/>
            <w:noWrap/>
            <w:vAlign w:val="center"/>
            <w:hideMark/>
          </w:tcPr>
          <w:p w14:paraId="5ADA477A" w14:textId="77777777" w:rsidR="00AE0F99" w:rsidRPr="00AE0F99" w:rsidRDefault="00AE0F99" w:rsidP="00AE0F99">
            <w:pPr>
              <w:jc w:val="center"/>
              <w:rPr>
                <w:rFonts w:ascii="Calibri" w:hAnsi="Calibri" w:cs="Calibri"/>
                <w:b/>
                <w:bCs/>
                <w:color w:val="FFFFFF"/>
                <w:sz w:val="28"/>
                <w:szCs w:val="28"/>
              </w:rPr>
            </w:pPr>
            <w:r w:rsidRPr="00AE0F99">
              <w:rPr>
                <w:rFonts w:ascii="Calibri" w:hAnsi="Calibri" w:cs="Calibri"/>
                <w:b/>
                <w:bCs/>
                <w:color w:val="FFFFFF"/>
                <w:sz w:val="28"/>
                <w:szCs w:val="28"/>
              </w:rPr>
              <w:t>Management de la performance de l'administration publique (MPAP)</w:t>
            </w:r>
          </w:p>
        </w:tc>
      </w:tr>
      <w:tr w:rsidR="00AE0F99" w:rsidRPr="00AE0F99" w14:paraId="0800775F" w14:textId="77777777" w:rsidTr="00AE0F99">
        <w:trPr>
          <w:trHeight w:val="380"/>
        </w:trPr>
        <w:tc>
          <w:tcPr>
            <w:tcW w:w="7083" w:type="dxa"/>
            <w:shd w:val="clear" w:color="9FC5E8" w:fill="9FC5E8"/>
            <w:noWrap/>
            <w:vAlign w:val="center"/>
            <w:hideMark/>
          </w:tcPr>
          <w:p w14:paraId="0D2C022D" w14:textId="77777777" w:rsidR="00AE0F99" w:rsidRPr="00AE0F99" w:rsidRDefault="00AE0F99" w:rsidP="00AE0F99">
            <w:pPr>
              <w:jc w:val="center"/>
              <w:rPr>
                <w:rFonts w:ascii="Calibri" w:hAnsi="Calibri" w:cs="Calibri"/>
                <w:b/>
                <w:bCs/>
                <w:color w:val="000000"/>
                <w:sz w:val="28"/>
                <w:szCs w:val="28"/>
              </w:rPr>
            </w:pPr>
            <w:r w:rsidRPr="00AE0F99">
              <w:rPr>
                <w:rFonts w:ascii="Calibri" w:hAnsi="Calibri" w:cs="Calibri"/>
                <w:b/>
                <w:bCs/>
                <w:color w:val="000000"/>
                <w:sz w:val="28"/>
                <w:szCs w:val="28"/>
              </w:rPr>
              <w:t>Module</w:t>
            </w:r>
          </w:p>
        </w:tc>
        <w:tc>
          <w:tcPr>
            <w:tcW w:w="567" w:type="dxa"/>
            <w:vMerge w:val="restart"/>
            <w:shd w:val="clear" w:color="9FC5E8" w:fill="9FC5E8"/>
            <w:noWrap/>
            <w:hideMark/>
          </w:tcPr>
          <w:p w14:paraId="6C5C36B0" w14:textId="77777777" w:rsidR="00AE0F99" w:rsidRPr="00AE0F99" w:rsidRDefault="00AE0F99" w:rsidP="00AE0F99">
            <w:pPr>
              <w:jc w:val="center"/>
              <w:rPr>
                <w:rFonts w:ascii="Calibri" w:hAnsi="Calibri" w:cs="Calibri"/>
                <w:b/>
                <w:bCs/>
                <w:color w:val="000000"/>
              </w:rPr>
            </w:pPr>
            <w:r w:rsidRPr="00AE0F99">
              <w:rPr>
                <w:rFonts w:ascii="Calibri" w:hAnsi="Calibri" w:cs="Calibri"/>
                <w:b/>
                <w:bCs/>
                <w:color w:val="000000"/>
              </w:rPr>
              <w:t>HC</w:t>
            </w:r>
          </w:p>
        </w:tc>
        <w:tc>
          <w:tcPr>
            <w:tcW w:w="567" w:type="dxa"/>
            <w:vMerge w:val="restart"/>
            <w:shd w:val="clear" w:color="9FC5E8" w:fill="9FC5E8"/>
            <w:noWrap/>
            <w:hideMark/>
          </w:tcPr>
          <w:p w14:paraId="28AAF391" w14:textId="77777777" w:rsidR="00AE0F99" w:rsidRPr="00AE0F99" w:rsidRDefault="00AE0F99" w:rsidP="00AE0F99">
            <w:pPr>
              <w:jc w:val="center"/>
              <w:rPr>
                <w:rFonts w:ascii="Calibri" w:hAnsi="Calibri" w:cs="Calibri"/>
                <w:b/>
                <w:bCs/>
                <w:color w:val="000000"/>
              </w:rPr>
            </w:pPr>
            <w:r w:rsidRPr="00AE0F99">
              <w:rPr>
                <w:rFonts w:ascii="Calibri" w:hAnsi="Calibri" w:cs="Calibri"/>
                <w:b/>
                <w:bCs/>
                <w:color w:val="000000"/>
              </w:rPr>
              <w:t>HTE</w:t>
            </w:r>
          </w:p>
        </w:tc>
        <w:tc>
          <w:tcPr>
            <w:tcW w:w="850" w:type="dxa"/>
            <w:vMerge w:val="restart"/>
            <w:shd w:val="clear" w:color="9FC5E8" w:fill="9FC5E8"/>
            <w:noWrap/>
            <w:hideMark/>
          </w:tcPr>
          <w:p w14:paraId="414ED2F9" w14:textId="77777777" w:rsidR="00AE0F99" w:rsidRPr="00AE0F99" w:rsidRDefault="00AE0F99" w:rsidP="00AE0F99">
            <w:pPr>
              <w:jc w:val="center"/>
              <w:rPr>
                <w:rFonts w:ascii="Calibri" w:hAnsi="Calibri" w:cs="Calibri"/>
                <w:b/>
                <w:bCs/>
                <w:color w:val="000000"/>
              </w:rPr>
            </w:pPr>
            <w:r w:rsidRPr="00AE0F99">
              <w:rPr>
                <w:rFonts w:ascii="Calibri" w:hAnsi="Calibri" w:cs="Calibri"/>
                <w:b/>
                <w:bCs/>
                <w:color w:val="000000"/>
              </w:rPr>
              <w:t>Crédits</w:t>
            </w:r>
          </w:p>
        </w:tc>
      </w:tr>
      <w:tr w:rsidR="00AE0F99" w:rsidRPr="00AE0F99" w14:paraId="0B382688" w14:textId="77777777" w:rsidTr="00AE0F99">
        <w:trPr>
          <w:trHeight w:val="380"/>
        </w:trPr>
        <w:tc>
          <w:tcPr>
            <w:tcW w:w="7083" w:type="dxa"/>
            <w:shd w:val="clear" w:color="9FC5E8" w:fill="9FC5E8"/>
            <w:noWrap/>
            <w:vAlign w:val="center"/>
            <w:hideMark/>
          </w:tcPr>
          <w:p w14:paraId="14F033FB" w14:textId="77777777" w:rsidR="00AE0F99" w:rsidRPr="00AE0F99" w:rsidRDefault="00AE0F99" w:rsidP="00AE0F99">
            <w:pPr>
              <w:jc w:val="center"/>
              <w:rPr>
                <w:rFonts w:ascii="Calibri" w:hAnsi="Calibri" w:cs="Calibri"/>
                <w:b/>
                <w:bCs/>
                <w:color w:val="000000"/>
                <w:sz w:val="28"/>
                <w:szCs w:val="28"/>
              </w:rPr>
            </w:pPr>
            <w:r w:rsidRPr="00AE0F99">
              <w:rPr>
                <w:rFonts w:ascii="Calibri" w:hAnsi="Calibri" w:cs="Calibri"/>
                <w:b/>
                <w:bCs/>
                <w:color w:val="000000"/>
                <w:sz w:val="28"/>
                <w:szCs w:val="28"/>
              </w:rPr>
              <w:t>Semestre 01</w:t>
            </w:r>
          </w:p>
        </w:tc>
        <w:tc>
          <w:tcPr>
            <w:tcW w:w="567" w:type="dxa"/>
            <w:vMerge/>
            <w:vAlign w:val="center"/>
            <w:hideMark/>
          </w:tcPr>
          <w:p w14:paraId="5E06EE10" w14:textId="77777777" w:rsidR="00AE0F99" w:rsidRPr="00AE0F99" w:rsidRDefault="00AE0F99" w:rsidP="00AE0F99">
            <w:pPr>
              <w:rPr>
                <w:rFonts w:ascii="Calibri" w:hAnsi="Calibri" w:cs="Calibri"/>
                <w:b/>
                <w:bCs/>
                <w:color w:val="000000"/>
              </w:rPr>
            </w:pPr>
          </w:p>
        </w:tc>
        <w:tc>
          <w:tcPr>
            <w:tcW w:w="567" w:type="dxa"/>
            <w:vMerge/>
            <w:vAlign w:val="center"/>
            <w:hideMark/>
          </w:tcPr>
          <w:p w14:paraId="4AE7B966" w14:textId="77777777" w:rsidR="00AE0F99" w:rsidRPr="00AE0F99" w:rsidRDefault="00AE0F99" w:rsidP="00AE0F99">
            <w:pPr>
              <w:rPr>
                <w:rFonts w:ascii="Calibri" w:hAnsi="Calibri" w:cs="Calibri"/>
                <w:b/>
                <w:bCs/>
                <w:color w:val="000000"/>
              </w:rPr>
            </w:pPr>
          </w:p>
        </w:tc>
        <w:tc>
          <w:tcPr>
            <w:tcW w:w="850" w:type="dxa"/>
            <w:vMerge/>
            <w:vAlign w:val="center"/>
            <w:hideMark/>
          </w:tcPr>
          <w:p w14:paraId="36C052E0" w14:textId="77777777" w:rsidR="00AE0F99" w:rsidRPr="00AE0F99" w:rsidRDefault="00AE0F99" w:rsidP="00AE0F99">
            <w:pPr>
              <w:rPr>
                <w:rFonts w:ascii="Calibri" w:hAnsi="Calibri" w:cs="Calibri"/>
                <w:b/>
                <w:bCs/>
                <w:color w:val="000000"/>
              </w:rPr>
            </w:pPr>
          </w:p>
        </w:tc>
      </w:tr>
      <w:tr w:rsidR="00AE0F99" w:rsidRPr="00AE0F99" w14:paraId="3B906343" w14:textId="77777777" w:rsidTr="00AE0F99">
        <w:trPr>
          <w:trHeight w:val="300"/>
        </w:trPr>
        <w:tc>
          <w:tcPr>
            <w:tcW w:w="7083" w:type="dxa"/>
            <w:shd w:val="clear" w:color="C9DAF8" w:fill="C9DAF8"/>
            <w:noWrap/>
            <w:vAlign w:val="center"/>
            <w:hideMark/>
          </w:tcPr>
          <w:p w14:paraId="042AEA01"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 xml:space="preserve">Introduction au Management public </w:t>
            </w:r>
          </w:p>
        </w:tc>
        <w:tc>
          <w:tcPr>
            <w:tcW w:w="567" w:type="dxa"/>
            <w:shd w:val="clear" w:color="CFE2F3" w:fill="CFE2F3"/>
            <w:noWrap/>
            <w:vAlign w:val="center"/>
            <w:hideMark/>
          </w:tcPr>
          <w:p w14:paraId="7D5FDD7C"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567" w:type="dxa"/>
            <w:shd w:val="clear" w:color="CFE2F3" w:fill="CFE2F3"/>
            <w:noWrap/>
            <w:vAlign w:val="center"/>
            <w:hideMark/>
          </w:tcPr>
          <w:p w14:paraId="61C0D5EE"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850" w:type="dxa"/>
            <w:shd w:val="clear" w:color="CFE2F3" w:fill="CFE2F3"/>
            <w:noWrap/>
            <w:vAlign w:val="center"/>
            <w:hideMark/>
          </w:tcPr>
          <w:p w14:paraId="3DDBFD47"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w:t>
            </w:r>
          </w:p>
        </w:tc>
      </w:tr>
      <w:tr w:rsidR="00AE0F99" w:rsidRPr="00AE0F99" w14:paraId="378C2E31" w14:textId="77777777" w:rsidTr="00AE0F99">
        <w:trPr>
          <w:trHeight w:val="300"/>
        </w:trPr>
        <w:tc>
          <w:tcPr>
            <w:tcW w:w="7083" w:type="dxa"/>
            <w:shd w:val="clear" w:color="C9DAF8" w:fill="C9DAF8"/>
            <w:noWrap/>
            <w:vAlign w:val="center"/>
            <w:hideMark/>
          </w:tcPr>
          <w:p w14:paraId="2D3CCC58" w14:textId="77777777" w:rsidR="00AE0F99" w:rsidRPr="00AE0F99" w:rsidRDefault="00AE0F99" w:rsidP="00AE0F99">
            <w:pPr>
              <w:jc w:val="center"/>
              <w:outlineLvl w:val="0"/>
              <w:rPr>
                <w:rFonts w:ascii="Calibri" w:hAnsi="Calibri" w:cs="Calibri"/>
                <w:color w:val="1155CC"/>
              </w:rPr>
            </w:pPr>
            <w:proofErr w:type="spellStart"/>
            <w:r w:rsidRPr="00AE0F99">
              <w:rPr>
                <w:rFonts w:ascii="Calibri" w:hAnsi="Calibri" w:cs="Calibri"/>
                <w:color w:val="1155CC"/>
              </w:rPr>
              <w:t>Ethique</w:t>
            </w:r>
            <w:proofErr w:type="spellEnd"/>
            <w:r w:rsidRPr="00AE0F99">
              <w:rPr>
                <w:rFonts w:ascii="Calibri" w:hAnsi="Calibri" w:cs="Calibri"/>
                <w:color w:val="1155CC"/>
              </w:rPr>
              <w:t xml:space="preserve"> et déontologie administrative</w:t>
            </w:r>
          </w:p>
        </w:tc>
        <w:tc>
          <w:tcPr>
            <w:tcW w:w="567" w:type="dxa"/>
            <w:shd w:val="clear" w:color="CFE2F3" w:fill="CFE2F3"/>
            <w:noWrap/>
            <w:vAlign w:val="center"/>
            <w:hideMark/>
          </w:tcPr>
          <w:p w14:paraId="10781EFE"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6B49B3A3"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057D6B5B"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36728402" w14:textId="77777777" w:rsidTr="00AE0F99">
        <w:trPr>
          <w:trHeight w:val="300"/>
        </w:trPr>
        <w:tc>
          <w:tcPr>
            <w:tcW w:w="7083" w:type="dxa"/>
            <w:shd w:val="clear" w:color="C9DAF8" w:fill="C9DAF8"/>
            <w:noWrap/>
            <w:vAlign w:val="center"/>
            <w:hideMark/>
          </w:tcPr>
          <w:p w14:paraId="17D4E71E"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Marchés publics</w:t>
            </w:r>
          </w:p>
        </w:tc>
        <w:tc>
          <w:tcPr>
            <w:tcW w:w="567" w:type="dxa"/>
            <w:shd w:val="clear" w:color="CFE2F3" w:fill="CFE2F3"/>
            <w:noWrap/>
            <w:vAlign w:val="center"/>
            <w:hideMark/>
          </w:tcPr>
          <w:p w14:paraId="5DB33127"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567" w:type="dxa"/>
            <w:shd w:val="clear" w:color="CFE2F3" w:fill="CFE2F3"/>
            <w:noWrap/>
            <w:vAlign w:val="center"/>
            <w:hideMark/>
          </w:tcPr>
          <w:p w14:paraId="3E719B68"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850" w:type="dxa"/>
            <w:shd w:val="clear" w:color="CFE2F3" w:fill="CFE2F3"/>
            <w:noWrap/>
            <w:vAlign w:val="center"/>
            <w:hideMark/>
          </w:tcPr>
          <w:p w14:paraId="2763B063"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w:t>
            </w:r>
          </w:p>
        </w:tc>
      </w:tr>
      <w:tr w:rsidR="00AE0F99" w:rsidRPr="00AE0F99" w14:paraId="72A6386C" w14:textId="77777777" w:rsidTr="00AE0F99">
        <w:trPr>
          <w:trHeight w:val="300"/>
        </w:trPr>
        <w:tc>
          <w:tcPr>
            <w:tcW w:w="7083" w:type="dxa"/>
            <w:shd w:val="clear" w:color="C9DAF8" w:fill="C9DAF8"/>
            <w:noWrap/>
            <w:vAlign w:val="center"/>
            <w:hideMark/>
          </w:tcPr>
          <w:p w14:paraId="623F037C"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 xml:space="preserve">Management des ressources humaines </w:t>
            </w:r>
          </w:p>
        </w:tc>
        <w:tc>
          <w:tcPr>
            <w:tcW w:w="567" w:type="dxa"/>
            <w:shd w:val="clear" w:color="CFE2F3" w:fill="CFE2F3"/>
            <w:noWrap/>
            <w:vAlign w:val="center"/>
            <w:hideMark/>
          </w:tcPr>
          <w:p w14:paraId="2675A62F"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0A750F67"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47DC89FB"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4283CCF1" w14:textId="77777777" w:rsidTr="00AE0F99">
        <w:trPr>
          <w:trHeight w:val="300"/>
        </w:trPr>
        <w:tc>
          <w:tcPr>
            <w:tcW w:w="7083" w:type="dxa"/>
            <w:shd w:val="clear" w:color="C9DAF8" w:fill="C9DAF8"/>
            <w:noWrap/>
            <w:vAlign w:val="center"/>
            <w:hideMark/>
          </w:tcPr>
          <w:p w14:paraId="6DCF8A0F"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Droit administratif</w:t>
            </w:r>
          </w:p>
        </w:tc>
        <w:tc>
          <w:tcPr>
            <w:tcW w:w="567" w:type="dxa"/>
            <w:shd w:val="clear" w:color="CFE2F3" w:fill="CFE2F3"/>
            <w:noWrap/>
            <w:vAlign w:val="center"/>
            <w:hideMark/>
          </w:tcPr>
          <w:p w14:paraId="4DF040D5"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567" w:type="dxa"/>
            <w:shd w:val="clear" w:color="CFE2F3" w:fill="CFE2F3"/>
            <w:noWrap/>
            <w:vAlign w:val="center"/>
            <w:hideMark/>
          </w:tcPr>
          <w:p w14:paraId="14F40E10"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850" w:type="dxa"/>
            <w:shd w:val="clear" w:color="CFE2F3" w:fill="CFE2F3"/>
            <w:noWrap/>
            <w:vAlign w:val="center"/>
            <w:hideMark/>
          </w:tcPr>
          <w:p w14:paraId="71CC37C1"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w:t>
            </w:r>
          </w:p>
        </w:tc>
      </w:tr>
      <w:tr w:rsidR="00AE0F99" w:rsidRPr="00AE0F99" w14:paraId="136E4F2B" w14:textId="77777777" w:rsidTr="00AE0F99">
        <w:trPr>
          <w:trHeight w:val="300"/>
        </w:trPr>
        <w:tc>
          <w:tcPr>
            <w:tcW w:w="7083" w:type="dxa"/>
            <w:shd w:val="clear" w:color="C9DAF8" w:fill="C9DAF8"/>
            <w:noWrap/>
            <w:vAlign w:val="center"/>
            <w:hideMark/>
          </w:tcPr>
          <w:p w14:paraId="555A0DB2" w14:textId="77777777" w:rsidR="00AE0F99" w:rsidRPr="00AE0F99" w:rsidRDefault="00AE0F99" w:rsidP="00AE0F99">
            <w:pPr>
              <w:jc w:val="center"/>
              <w:outlineLvl w:val="0"/>
              <w:rPr>
                <w:rFonts w:ascii="Calibri" w:hAnsi="Calibri" w:cs="Calibri"/>
                <w:color w:val="1155CC"/>
              </w:rPr>
            </w:pPr>
            <w:proofErr w:type="spellStart"/>
            <w:r w:rsidRPr="00AE0F99">
              <w:rPr>
                <w:rFonts w:ascii="Calibri" w:hAnsi="Calibri" w:cs="Calibri"/>
                <w:color w:val="1155CC"/>
              </w:rPr>
              <w:t>Legistique</w:t>
            </w:r>
            <w:proofErr w:type="spellEnd"/>
            <w:r w:rsidRPr="00AE0F99">
              <w:rPr>
                <w:rFonts w:ascii="Calibri" w:hAnsi="Calibri" w:cs="Calibri"/>
                <w:color w:val="1155CC"/>
              </w:rPr>
              <w:t xml:space="preserve"> </w:t>
            </w:r>
          </w:p>
        </w:tc>
        <w:tc>
          <w:tcPr>
            <w:tcW w:w="567" w:type="dxa"/>
            <w:shd w:val="clear" w:color="CFE2F3" w:fill="CFE2F3"/>
            <w:noWrap/>
            <w:vAlign w:val="center"/>
            <w:hideMark/>
          </w:tcPr>
          <w:p w14:paraId="7ACC3ED3"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08932AB4"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10D9ED39"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50C01866" w14:textId="77777777" w:rsidTr="00AE0F99">
        <w:trPr>
          <w:trHeight w:val="300"/>
        </w:trPr>
        <w:tc>
          <w:tcPr>
            <w:tcW w:w="7083" w:type="dxa"/>
            <w:shd w:val="clear" w:color="C9DAF8" w:fill="C9DAF8"/>
            <w:noWrap/>
            <w:vAlign w:val="center"/>
            <w:hideMark/>
          </w:tcPr>
          <w:p w14:paraId="09DFE596"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Décentralisation et gouvernance locale</w:t>
            </w:r>
          </w:p>
        </w:tc>
        <w:tc>
          <w:tcPr>
            <w:tcW w:w="567" w:type="dxa"/>
            <w:shd w:val="clear" w:color="CFE2F3" w:fill="CFE2F3"/>
            <w:noWrap/>
            <w:vAlign w:val="center"/>
            <w:hideMark/>
          </w:tcPr>
          <w:p w14:paraId="6D777179"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1A4921D3"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02A360AA"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69F7CEC0" w14:textId="77777777" w:rsidTr="00AE0F99">
        <w:trPr>
          <w:trHeight w:val="300"/>
        </w:trPr>
        <w:tc>
          <w:tcPr>
            <w:tcW w:w="7083" w:type="dxa"/>
            <w:shd w:val="clear" w:color="C9DAF8" w:fill="C9DAF8"/>
            <w:noWrap/>
            <w:vAlign w:val="center"/>
            <w:hideMark/>
          </w:tcPr>
          <w:p w14:paraId="7474D533"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Politiques publiques</w:t>
            </w:r>
          </w:p>
        </w:tc>
        <w:tc>
          <w:tcPr>
            <w:tcW w:w="567" w:type="dxa"/>
            <w:shd w:val="clear" w:color="CFE2F3" w:fill="CFE2F3"/>
            <w:noWrap/>
            <w:vAlign w:val="center"/>
            <w:hideMark/>
          </w:tcPr>
          <w:p w14:paraId="4123F5B2"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1B95845C"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520376F7"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5AF2C6B8" w14:textId="77777777" w:rsidTr="00AE0F99">
        <w:trPr>
          <w:trHeight w:val="300"/>
        </w:trPr>
        <w:tc>
          <w:tcPr>
            <w:tcW w:w="7083" w:type="dxa"/>
            <w:shd w:val="clear" w:color="C9DAF8" w:fill="C9DAF8"/>
            <w:noWrap/>
            <w:vAlign w:val="center"/>
            <w:hideMark/>
          </w:tcPr>
          <w:p w14:paraId="62C3809A"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Pratique de la GAR</w:t>
            </w:r>
          </w:p>
        </w:tc>
        <w:tc>
          <w:tcPr>
            <w:tcW w:w="567" w:type="dxa"/>
            <w:shd w:val="clear" w:color="CFE2F3" w:fill="CFE2F3"/>
            <w:noWrap/>
            <w:vAlign w:val="center"/>
            <w:hideMark/>
          </w:tcPr>
          <w:p w14:paraId="01298085"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3034295C"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5C238D5B"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56F55B1D" w14:textId="77777777" w:rsidTr="00AE0F99">
        <w:trPr>
          <w:trHeight w:val="300"/>
        </w:trPr>
        <w:tc>
          <w:tcPr>
            <w:tcW w:w="7083" w:type="dxa"/>
            <w:shd w:val="clear" w:color="C9DAF8" w:fill="C9DAF8"/>
            <w:noWrap/>
            <w:vAlign w:val="center"/>
            <w:hideMark/>
          </w:tcPr>
          <w:p w14:paraId="2EBE5D3B"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Management de projet/programme</w:t>
            </w:r>
          </w:p>
        </w:tc>
        <w:tc>
          <w:tcPr>
            <w:tcW w:w="567" w:type="dxa"/>
            <w:shd w:val="clear" w:color="CFE2F3" w:fill="CFE2F3"/>
            <w:noWrap/>
            <w:vAlign w:val="center"/>
            <w:hideMark/>
          </w:tcPr>
          <w:p w14:paraId="580B78D9"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4B28038F"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591D5FE9"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29DEAC4A" w14:textId="77777777" w:rsidTr="00AE0F99">
        <w:trPr>
          <w:trHeight w:val="300"/>
        </w:trPr>
        <w:tc>
          <w:tcPr>
            <w:tcW w:w="7083" w:type="dxa"/>
            <w:shd w:val="clear" w:color="C9DAF8" w:fill="C9DAF8"/>
            <w:noWrap/>
            <w:vAlign w:val="center"/>
            <w:hideMark/>
          </w:tcPr>
          <w:p w14:paraId="1DB54FD6"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Outils de travail collaboratif</w:t>
            </w:r>
          </w:p>
        </w:tc>
        <w:tc>
          <w:tcPr>
            <w:tcW w:w="567" w:type="dxa"/>
            <w:shd w:val="clear" w:color="CFE2F3" w:fill="CFE2F3"/>
            <w:noWrap/>
            <w:vAlign w:val="center"/>
            <w:hideMark/>
          </w:tcPr>
          <w:p w14:paraId="4FC49896"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567" w:type="dxa"/>
            <w:shd w:val="clear" w:color="CFE2F3" w:fill="CFE2F3"/>
            <w:noWrap/>
            <w:vAlign w:val="center"/>
            <w:hideMark/>
          </w:tcPr>
          <w:p w14:paraId="441E9626"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850" w:type="dxa"/>
            <w:shd w:val="clear" w:color="CFE2F3" w:fill="CFE2F3"/>
            <w:noWrap/>
            <w:vAlign w:val="center"/>
            <w:hideMark/>
          </w:tcPr>
          <w:p w14:paraId="6472F99B"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w:t>
            </w:r>
          </w:p>
        </w:tc>
      </w:tr>
      <w:tr w:rsidR="00AE0F99" w:rsidRPr="00AE0F99" w14:paraId="0E45684F" w14:textId="77777777" w:rsidTr="00AE0F99">
        <w:trPr>
          <w:trHeight w:val="300"/>
        </w:trPr>
        <w:tc>
          <w:tcPr>
            <w:tcW w:w="7083" w:type="dxa"/>
            <w:shd w:val="clear" w:color="C9DAF8" w:fill="C9DAF8"/>
            <w:noWrap/>
            <w:vAlign w:val="center"/>
            <w:hideMark/>
          </w:tcPr>
          <w:p w14:paraId="5E846BD2"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 xml:space="preserve">Gestion budgétaire </w:t>
            </w:r>
          </w:p>
        </w:tc>
        <w:tc>
          <w:tcPr>
            <w:tcW w:w="567" w:type="dxa"/>
            <w:shd w:val="clear" w:color="CFE2F3" w:fill="CFE2F3"/>
            <w:noWrap/>
            <w:vAlign w:val="center"/>
            <w:hideMark/>
          </w:tcPr>
          <w:p w14:paraId="1929486F"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5FCC8870"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449B20C8"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2EBAAD61" w14:textId="77777777" w:rsidTr="00AE0F99">
        <w:trPr>
          <w:trHeight w:val="450"/>
        </w:trPr>
        <w:tc>
          <w:tcPr>
            <w:tcW w:w="7083" w:type="dxa"/>
            <w:shd w:val="clear" w:color="A4C2F4" w:fill="A4C2F4"/>
            <w:noWrap/>
            <w:vAlign w:val="center"/>
            <w:hideMark/>
          </w:tcPr>
          <w:p w14:paraId="17BF5566" w14:textId="77777777" w:rsidR="00AE0F99" w:rsidRPr="00AE0F99" w:rsidRDefault="00AE0F99" w:rsidP="00AE0F99">
            <w:pPr>
              <w:jc w:val="center"/>
              <w:rPr>
                <w:rFonts w:ascii="Calibri" w:hAnsi="Calibri" w:cs="Calibri"/>
                <w:b/>
                <w:bCs/>
                <w:color w:val="000000"/>
                <w:sz w:val="28"/>
                <w:szCs w:val="28"/>
              </w:rPr>
            </w:pPr>
            <w:r w:rsidRPr="00AE0F99">
              <w:rPr>
                <w:rFonts w:ascii="Calibri" w:hAnsi="Calibri" w:cs="Calibri"/>
                <w:b/>
                <w:bCs/>
                <w:color w:val="000000"/>
                <w:sz w:val="28"/>
                <w:szCs w:val="28"/>
              </w:rPr>
              <w:t>Semestre 02</w:t>
            </w:r>
          </w:p>
        </w:tc>
        <w:tc>
          <w:tcPr>
            <w:tcW w:w="567" w:type="dxa"/>
            <w:shd w:val="clear" w:color="A4C2F4" w:fill="A4C2F4"/>
            <w:noWrap/>
            <w:vAlign w:val="center"/>
            <w:hideMark/>
          </w:tcPr>
          <w:p w14:paraId="223BF476" w14:textId="77777777" w:rsidR="00AE0F99" w:rsidRPr="00AE0F99" w:rsidRDefault="00AE0F99" w:rsidP="00AE0F99">
            <w:pPr>
              <w:jc w:val="center"/>
              <w:rPr>
                <w:rFonts w:ascii="Calibri" w:hAnsi="Calibri" w:cs="Calibri"/>
                <w:b/>
                <w:bCs/>
                <w:color w:val="000000"/>
              </w:rPr>
            </w:pPr>
            <w:r w:rsidRPr="00AE0F99">
              <w:rPr>
                <w:rFonts w:ascii="Calibri" w:hAnsi="Calibri" w:cs="Calibri"/>
                <w:b/>
                <w:bCs/>
                <w:color w:val="000000"/>
              </w:rPr>
              <w:t>HC</w:t>
            </w:r>
          </w:p>
        </w:tc>
        <w:tc>
          <w:tcPr>
            <w:tcW w:w="567" w:type="dxa"/>
            <w:shd w:val="clear" w:color="A4C2F4" w:fill="A4C2F4"/>
            <w:noWrap/>
            <w:vAlign w:val="center"/>
            <w:hideMark/>
          </w:tcPr>
          <w:p w14:paraId="711E1480" w14:textId="77777777" w:rsidR="00AE0F99" w:rsidRPr="00AE0F99" w:rsidRDefault="00AE0F99" w:rsidP="00AE0F99">
            <w:pPr>
              <w:jc w:val="center"/>
              <w:rPr>
                <w:rFonts w:ascii="Calibri" w:hAnsi="Calibri" w:cs="Calibri"/>
                <w:b/>
                <w:bCs/>
                <w:color w:val="000000"/>
              </w:rPr>
            </w:pPr>
            <w:r w:rsidRPr="00AE0F99">
              <w:rPr>
                <w:rFonts w:ascii="Calibri" w:hAnsi="Calibri" w:cs="Calibri"/>
                <w:b/>
                <w:bCs/>
                <w:color w:val="000000"/>
              </w:rPr>
              <w:t>HTE</w:t>
            </w:r>
          </w:p>
        </w:tc>
        <w:tc>
          <w:tcPr>
            <w:tcW w:w="850" w:type="dxa"/>
            <w:shd w:val="clear" w:color="A4C2F4" w:fill="A4C2F4"/>
            <w:noWrap/>
            <w:vAlign w:val="center"/>
            <w:hideMark/>
          </w:tcPr>
          <w:p w14:paraId="2A057733" w14:textId="77777777" w:rsidR="00AE0F99" w:rsidRPr="00AE0F99" w:rsidRDefault="00AE0F99" w:rsidP="00AE0F99">
            <w:pPr>
              <w:jc w:val="center"/>
              <w:rPr>
                <w:rFonts w:ascii="Calibri" w:hAnsi="Calibri" w:cs="Calibri"/>
                <w:b/>
                <w:bCs/>
                <w:color w:val="000000"/>
              </w:rPr>
            </w:pPr>
            <w:r w:rsidRPr="00AE0F99">
              <w:rPr>
                <w:rFonts w:ascii="Calibri" w:hAnsi="Calibri" w:cs="Calibri"/>
                <w:b/>
                <w:bCs/>
                <w:color w:val="000000"/>
              </w:rPr>
              <w:t>Crédits</w:t>
            </w:r>
          </w:p>
        </w:tc>
      </w:tr>
      <w:tr w:rsidR="00AE0F99" w:rsidRPr="00AE0F99" w14:paraId="5C54C7FF" w14:textId="77777777" w:rsidTr="00AE0F99">
        <w:trPr>
          <w:trHeight w:val="300"/>
        </w:trPr>
        <w:tc>
          <w:tcPr>
            <w:tcW w:w="7083" w:type="dxa"/>
            <w:shd w:val="clear" w:color="C9DAF8" w:fill="C9DAF8"/>
            <w:noWrap/>
            <w:vAlign w:val="center"/>
            <w:hideMark/>
          </w:tcPr>
          <w:p w14:paraId="4A9A3183"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 xml:space="preserve">Langues </w:t>
            </w:r>
          </w:p>
        </w:tc>
        <w:tc>
          <w:tcPr>
            <w:tcW w:w="567" w:type="dxa"/>
            <w:shd w:val="clear" w:color="CFE2F3" w:fill="CFE2F3"/>
            <w:noWrap/>
            <w:vAlign w:val="center"/>
            <w:hideMark/>
          </w:tcPr>
          <w:p w14:paraId="186A4F2D"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567" w:type="dxa"/>
            <w:shd w:val="clear" w:color="CFE2F3" w:fill="CFE2F3"/>
            <w:noWrap/>
            <w:vAlign w:val="center"/>
            <w:hideMark/>
          </w:tcPr>
          <w:p w14:paraId="416C29FE"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30</w:t>
            </w:r>
          </w:p>
        </w:tc>
        <w:tc>
          <w:tcPr>
            <w:tcW w:w="850" w:type="dxa"/>
            <w:shd w:val="clear" w:color="CFE2F3" w:fill="CFE2F3"/>
            <w:noWrap/>
            <w:vAlign w:val="center"/>
            <w:hideMark/>
          </w:tcPr>
          <w:p w14:paraId="6D93DB66"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w:t>
            </w:r>
          </w:p>
        </w:tc>
      </w:tr>
      <w:tr w:rsidR="00AE0F99" w:rsidRPr="00AE0F99" w14:paraId="06E5EB6A" w14:textId="77777777" w:rsidTr="00AE0F99">
        <w:trPr>
          <w:trHeight w:val="300"/>
        </w:trPr>
        <w:tc>
          <w:tcPr>
            <w:tcW w:w="7083" w:type="dxa"/>
            <w:shd w:val="clear" w:color="C9DAF8" w:fill="C9DAF8"/>
            <w:noWrap/>
            <w:vAlign w:val="center"/>
            <w:hideMark/>
          </w:tcPr>
          <w:p w14:paraId="3B8969B6" w14:textId="527F9EC9" w:rsidR="00AE0F99" w:rsidRPr="00AE0F99" w:rsidRDefault="004D589D" w:rsidP="00AE0F99">
            <w:pPr>
              <w:jc w:val="center"/>
              <w:outlineLvl w:val="0"/>
              <w:rPr>
                <w:rFonts w:ascii="Calibri" w:hAnsi="Calibri" w:cs="Calibri"/>
                <w:color w:val="1155CC"/>
              </w:rPr>
            </w:pPr>
            <w:r w:rsidRPr="00AE0F99">
              <w:rPr>
                <w:rFonts w:ascii="Calibri" w:hAnsi="Calibri" w:cs="Calibri"/>
                <w:color w:val="1155CC"/>
              </w:rPr>
              <w:t>Rédaction</w:t>
            </w:r>
            <w:r w:rsidR="00AE0F99" w:rsidRPr="00AE0F99">
              <w:rPr>
                <w:rFonts w:ascii="Calibri" w:hAnsi="Calibri" w:cs="Calibri"/>
                <w:color w:val="1155CC"/>
              </w:rPr>
              <w:t xml:space="preserve"> administrative</w:t>
            </w:r>
          </w:p>
        </w:tc>
        <w:tc>
          <w:tcPr>
            <w:tcW w:w="567" w:type="dxa"/>
            <w:shd w:val="clear" w:color="CFE2F3" w:fill="CFE2F3"/>
            <w:noWrap/>
            <w:vAlign w:val="center"/>
            <w:hideMark/>
          </w:tcPr>
          <w:p w14:paraId="21A9506C"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777F08E3"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5F84DB82"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1F603194" w14:textId="77777777" w:rsidTr="00AE0F99">
        <w:trPr>
          <w:trHeight w:val="300"/>
        </w:trPr>
        <w:tc>
          <w:tcPr>
            <w:tcW w:w="7083" w:type="dxa"/>
            <w:shd w:val="clear" w:color="C9DAF8" w:fill="C9DAF8"/>
            <w:noWrap/>
            <w:vAlign w:val="center"/>
            <w:hideMark/>
          </w:tcPr>
          <w:p w14:paraId="3D84E52D"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Modernisation de l’administration publique</w:t>
            </w:r>
          </w:p>
        </w:tc>
        <w:tc>
          <w:tcPr>
            <w:tcW w:w="567" w:type="dxa"/>
            <w:shd w:val="clear" w:color="CFE2F3" w:fill="CFE2F3"/>
            <w:noWrap/>
            <w:vAlign w:val="center"/>
            <w:hideMark/>
          </w:tcPr>
          <w:p w14:paraId="2E58B482"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1C11ABCE"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6CF8C9BC"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7B2A0B68" w14:textId="77777777" w:rsidTr="00AE0F99">
        <w:trPr>
          <w:trHeight w:val="300"/>
        </w:trPr>
        <w:tc>
          <w:tcPr>
            <w:tcW w:w="7083" w:type="dxa"/>
            <w:shd w:val="clear" w:color="C9DAF8" w:fill="C9DAF8"/>
            <w:noWrap/>
            <w:vAlign w:val="center"/>
            <w:hideMark/>
          </w:tcPr>
          <w:p w14:paraId="485AAD0B"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Géopolitique africaine, intégration régionale et sous-régionale</w:t>
            </w:r>
          </w:p>
        </w:tc>
        <w:tc>
          <w:tcPr>
            <w:tcW w:w="567" w:type="dxa"/>
            <w:shd w:val="clear" w:color="CFE2F3" w:fill="CFE2F3"/>
            <w:noWrap/>
            <w:vAlign w:val="center"/>
            <w:hideMark/>
          </w:tcPr>
          <w:p w14:paraId="59AD5443"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6986834D"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850" w:type="dxa"/>
            <w:shd w:val="clear" w:color="CFE2F3" w:fill="CFE2F3"/>
            <w:noWrap/>
            <w:vAlign w:val="center"/>
            <w:hideMark/>
          </w:tcPr>
          <w:p w14:paraId="68680F91"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w:t>
            </w:r>
          </w:p>
        </w:tc>
      </w:tr>
      <w:tr w:rsidR="00AE0F99" w:rsidRPr="00AE0F99" w14:paraId="15477158" w14:textId="77777777" w:rsidTr="00AE0F99">
        <w:trPr>
          <w:trHeight w:val="300"/>
        </w:trPr>
        <w:tc>
          <w:tcPr>
            <w:tcW w:w="7083" w:type="dxa"/>
            <w:shd w:val="clear" w:color="C9DAF8" w:fill="C9DAF8"/>
            <w:noWrap/>
            <w:vAlign w:val="center"/>
            <w:hideMark/>
          </w:tcPr>
          <w:p w14:paraId="17049DE7"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Compétences du XXIème siècle "4C"</w:t>
            </w:r>
          </w:p>
        </w:tc>
        <w:tc>
          <w:tcPr>
            <w:tcW w:w="567" w:type="dxa"/>
            <w:shd w:val="clear" w:color="CFE2F3" w:fill="CFE2F3"/>
            <w:noWrap/>
            <w:vAlign w:val="center"/>
            <w:hideMark/>
          </w:tcPr>
          <w:p w14:paraId="272A69D5"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c>
          <w:tcPr>
            <w:tcW w:w="567" w:type="dxa"/>
            <w:shd w:val="clear" w:color="CFE2F3" w:fill="CFE2F3"/>
            <w:noWrap/>
            <w:vAlign w:val="center"/>
            <w:hideMark/>
          </w:tcPr>
          <w:p w14:paraId="212ACBB9"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40</w:t>
            </w:r>
          </w:p>
        </w:tc>
        <w:tc>
          <w:tcPr>
            <w:tcW w:w="850" w:type="dxa"/>
            <w:shd w:val="clear" w:color="CFE2F3" w:fill="CFE2F3"/>
            <w:noWrap/>
            <w:vAlign w:val="center"/>
            <w:hideMark/>
          </w:tcPr>
          <w:p w14:paraId="01D64CA8"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3</w:t>
            </w:r>
          </w:p>
        </w:tc>
      </w:tr>
      <w:tr w:rsidR="00AE0F99" w:rsidRPr="00AE0F99" w14:paraId="719B586F" w14:textId="77777777" w:rsidTr="00AE0F99">
        <w:trPr>
          <w:trHeight w:val="300"/>
        </w:trPr>
        <w:tc>
          <w:tcPr>
            <w:tcW w:w="7083" w:type="dxa"/>
            <w:shd w:val="clear" w:color="C9DAF8" w:fill="C9DAF8"/>
            <w:noWrap/>
            <w:vAlign w:val="center"/>
            <w:hideMark/>
          </w:tcPr>
          <w:p w14:paraId="70D40C2B" w14:textId="77777777" w:rsidR="00AE0F99" w:rsidRPr="00AE0F99" w:rsidRDefault="00AE0F99" w:rsidP="00AE0F99">
            <w:pPr>
              <w:jc w:val="center"/>
              <w:outlineLvl w:val="0"/>
              <w:rPr>
                <w:rFonts w:ascii="Calibri" w:hAnsi="Calibri" w:cs="Calibri"/>
                <w:color w:val="1155CC"/>
              </w:rPr>
            </w:pPr>
            <w:proofErr w:type="spellStart"/>
            <w:r w:rsidRPr="00AE0F99">
              <w:rPr>
                <w:rFonts w:ascii="Calibri" w:hAnsi="Calibri" w:cs="Calibri"/>
                <w:color w:val="1155CC"/>
              </w:rPr>
              <w:t>Methodologie</w:t>
            </w:r>
            <w:proofErr w:type="spellEnd"/>
            <w:r w:rsidRPr="00AE0F99">
              <w:rPr>
                <w:rFonts w:ascii="Calibri" w:hAnsi="Calibri" w:cs="Calibri"/>
                <w:color w:val="1155CC"/>
              </w:rPr>
              <w:t xml:space="preserve"> de recherche</w:t>
            </w:r>
          </w:p>
        </w:tc>
        <w:tc>
          <w:tcPr>
            <w:tcW w:w="567" w:type="dxa"/>
            <w:shd w:val="clear" w:color="CFE2F3" w:fill="CFE2F3"/>
            <w:noWrap/>
            <w:vAlign w:val="center"/>
            <w:hideMark/>
          </w:tcPr>
          <w:p w14:paraId="11E3BE3E"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0</w:t>
            </w:r>
          </w:p>
        </w:tc>
        <w:tc>
          <w:tcPr>
            <w:tcW w:w="567" w:type="dxa"/>
            <w:shd w:val="clear" w:color="CFE2F3" w:fill="CFE2F3"/>
            <w:noWrap/>
            <w:vAlign w:val="center"/>
            <w:hideMark/>
          </w:tcPr>
          <w:p w14:paraId="6906044C"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0</w:t>
            </w:r>
          </w:p>
        </w:tc>
        <w:tc>
          <w:tcPr>
            <w:tcW w:w="850" w:type="dxa"/>
            <w:shd w:val="clear" w:color="CFE2F3" w:fill="CFE2F3"/>
            <w:noWrap/>
            <w:vAlign w:val="center"/>
            <w:hideMark/>
          </w:tcPr>
          <w:p w14:paraId="26DFC528"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0</w:t>
            </w:r>
          </w:p>
        </w:tc>
      </w:tr>
      <w:tr w:rsidR="00AE0F99" w:rsidRPr="00AE0F99" w14:paraId="6D2F9EFD" w14:textId="77777777" w:rsidTr="00AE0F99">
        <w:trPr>
          <w:trHeight w:val="300"/>
        </w:trPr>
        <w:tc>
          <w:tcPr>
            <w:tcW w:w="7083" w:type="dxa"/>
            <w:shd w:val="clear" w:color="C9DAF8" w:fill="C9DAF8"/>
            <w:noWrap/>
            <w:vAlign w:val="center"/>
            <w:hideMark/>
          </w:tcPr>
          <w:p w14:paraId="6F9C9069" w14:textId="77777777" w:rsidR="00AE0F99" w:rsidRPr="00AE0F99" w:rsidRDefault="00AE0F99" w:rsidP="00AE0F99">
            <w:pPr>
              <w:jc w:val="center"/>
              <w:outlineLvl w:val="0"/>
              <w:rPr>
                <w:rFonts w:ascii="Calibri" w:hAnsi="Calibri" w:cs="Calibri"/>
                <w:color w:val="1155CC"/>
              </w:rPr>
            </w:pPr>
            <w:r w:rsidRPr="00AE0F99">
              <w:rPr>
                <w:rFonts w:ascii="Calibri" w:hAnsi="Calibri" w:cs="Calibri"/>
                <w:color w:val="1155CC"/>
              </w:rPr>
              <w:t>Mémoires et soutenance</w:t>
            </w:r>
          </w:p>
        </w:tc>
        <w:tc>
          <w:tcPr>
            <w:tcW w:w="567" w:type="dxa"/>
            <w:shd w:val="clear" w:color="CFE2F3" w:fill="CFE2F3"/>
            <w:noWrap/>
            <w:vAlign w:val="center"/>
            <w:hideMark/>
          </w:tcPr>
          <w:p w14:paraId="645CF02C"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0</w:t>
            </w:r>
          </w:p>
        </w:tc>
        <w:tc>
          <w:tcPr>
            <w:tcW w:w="567" w:type="dxa"/>
            <w:shd w:val="clear" w:color="CFE2F3" w:fill="CFE2F3"/>
            <w:noWrap/>
            <w:vAlign w:val="center"/>
            <w:hideMark/>
          </w:tcPr>
          <w:p w14:paraId="5C76B4B4"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400</w:t>
            </w:r>
          </w:p>
        </w:tc>
        <w:tc>
          <w:tcPr>
            <w:tcW w:w="850" w:type="dxa"/>
            <w:shd w:val="clear" w:color="CFE2F3" w:fill="CFE2F3"/>
            <w:noWrap/>
            <w:vAlign w:val="center"/>
            <w:hideMark/>
          </w:tcPr>
          <w:p w14:paraId="50FF4CBC" w14:textId="77777777" w:rsidR="00AE0F99" w:rsidRPr="00AE0F99" w:rsidRDefault="00AE0F99" w:rsidP="00AE0F99">
            <w:pPr>
              <w:jc w:val="right"/>
              <w:outlineLvl w:val="0"/>
              <w:rPr>
                <w:rFonts w:ascii="Calibri" w:hAnsi="Calibri" w:cs="Calibri"/>
                <w:color w:val="000000"/>
              </w:rPr>
            </w:pPr>
            <w:r w:rsidRPr="00AE0F99">
              <w:rPr>
                <w:rFonts w:ascii="Calibri" w:hAnsi="Calibri" w:cs="Calibri"/>
                <w:color w:val="000000"/>
              </w:rPr>
              <w:t>20</w:t>
            </w:r>
          </w:p>
        </w:tc>
      </w:tr>
      <w:tr w:rsidR="00AE0F99" w:rsidRPr="00AE0F99" w14:paraId="0BBAD726" w14:textId="77777777" w:rsidTr="00AE0F99">
        <w:trPr>
          <w:trHeight w:val="450"/>
        </w:trPr>
        <w:tc>
          <w:tcPr>
            <w:tcW w:w="7083" w:type="dxa"/>
            <w:shd w:val="clear" w:color="FFFFFF" w:fill="203764"/>
            <w:noWrap/>
            <w:vAlign w:val="center"/>
            <w:hideMark/>
          </w:tcPr>
          <w:p w14:paraId="7800A71E" w14:textId="77777777" w:rsidR="00AE0F99" w:rsidRPr="00AE0F99" w:rsidRDefault="00AE0F99" w:rsidP="00AE0F99">
            <w:pPr>
              <w:rPr>
                <w:rFonts w:ascii="Calibri" w:hAnsi="Calibri" w:cs="Calibri"/>
                <w:b/>
                <w:bCs/>
                <w:color w:val="FFFFFF"/>
              </w:rPr>
            </w:pPr>
            <w:r w:rsidRPr="00AE0F99">
              <w:rPr>
                <w:rFonts w:ascii="Calibri" w:hAnsi="Calibri" w:cs="Calibri"/>
                <w:b/>
                <w:bCs/>
                <w:color w:val="FFFFFF"/>
              </w:rPr>
              <w:t xml:space="preserve">TOTAL </w:t>
            </w:r>
          </w:p>
        </w:tc>
        <w:tc>
          <w:tcPr>
            <w:tcW w:w="567" w:type="dxa"/>
            <w:shd w:val="clear" w:color="FFFFFF" w:fill="203764"/>
            <w:noWrap/>
            <w:vAlign w:val="center"/>
            <w:hideMark/>
          </w:tcPr>
          <w:p w14:paraId="4C183244" w14:textId="77777777" w:rsidR="00AE0F99" w:rsidRPr="00AE0F99" w:rsidRDefault="00AE0F99" w:rsidP="00AE0F99">
            <w:pPr>
              <w:jc w:val="center"/>
              <w:rPr>
                <w:rFonts w:ascii="Calibri" w:hAnsi="Calibri" w:cs="Calibri"/>
                <w:b/>
                <w:bCs/>
                <w:color w:val="FFFFFF"/>
              </w:rPr>
            </w:pPr>
            <w:r w:rsidRPr="00AE0F99">
              <w:rPr>
                <w:rFonts w:ascii="Calibri" w:hAnsi="Calibri" w:cs="Calibri"/>
                <w:b/>
                <w:bCs/>
                <w:color w:val="FFFFFF"/>
              </w:rPr>
              <w:t>390</w:t>
            </w:r>
          </w:p>
        </w:tc>
        <w:tc>
          <w:tcPr>
            <w:tcW w:w="567" w:type="dxa"/>
            <w:shd w:val="clear" w:color="FFFFFF" w:fill="203764"/>
            <w:noWrap/>
            <w:vAlign w:val="center"/>
            <w:hideMark/>
          </w:tcPr>
          <w:p w14:paraId="574D4B05" w14:textId="77777777" w:rsidR="00AE0F99" w:rsidRPr="00AE0F99" w:rsidRDefault="00AE0F99" w:rsidP="00AE0F99">
            <w:pPr>
              <w:jc w:val="center"/>
              <w:rPr>
                <w:rFonts w:ascii="Calibri" w:hAnsi="Calibri" w:cs="Calibri"/>
                <w:b/>
                <w:bCs/>
                <w:color w:val="FFFFFF"/>
              </w:rPr>
            </w:pPr>
            <w:r w:rsidRPr="00AE0F99">
              <w:rPr>
                <w:rFonts w:ascii="Calibri" w:hAnsi="Calibri" w:cs="Calibri"/>
                <w:b/>
                <w:bCs/>
                <w:color w:val="FFFFFF"/>
              </w:rPr>
              <w:t>810</w:t>
            </w:r>
          </w:p>
        </w:tc>
        <w:tc>
          <w:tcPr>
            <w:tcW w:w="850" w:type="dxa"/>
            <w:shd w:val="clear" w:color="FFFFFF" w:fill="203764"/>
            <w:noWrap/>
            <w:vAlign w:val="center"/>
            <w:hideMark/>
          </w:tcPr>
          <w:p w14:paraId="4B43E35F" w14:textId="77777777" w:rsidR="00AE0F99" w:rsidRPr="00AE0F99" w:rsidRDefault="00AE0F99" w:rsidP="00AE0F99">
            <w:pPr>
              <w:jc w:val="center"/>
              <w:rPr>
                <w:rFonts w:ascii="Calibri" w:hAnsi="Calibri" w:cs="Calibri"/>
                <w:b/>
                <w:bCs/>
                <w:color w:val="FFFFFF"/>
              </w:rPr>
            </w:pPr>
            <w:r w:rsidRPr="00AE0F99">
              <w:rPr>
                <w:rFonts w:ascii="Calibri" w:hAnsi="Calibri" w:cs="Calibri"/>
                <w:b/>
                <w:bCs/>
                <w:color w:val="FFFFFF"/>
              </w:rPr>
              <w:t>60</w:t>
            </w:r>
          </w:p>
        </w:tc>
      </w:tr>
    </w:tbl>
    <w:p w14:paraId="4C2ABB04" w14:textId="77777777" w:rsidR="007217DB" w:rsidRDefault="007217DB" w:rsidP="003473F3">
      <w:pPr>
        <w:spacing w:line="276" w:lineRule="auto"/>
        <w:rPr>
          <w:rFonts w:ascii="Abadi" w:hAnsi="Abadi"/>
        </w:rPr>
      </w:pPr>
    </w:p>
    <w:tbl>
      <w:tblPr>
        <w:tblW w:w="6300" w:type="dxa"/>
        <w:tblCellMar>
          <w:left w:w="70" w:type="dxa"/>
          <w:right w:w="70" w:type="dxa"/>
        </w:tblCellMar>
        <w:tblLook w:val="04A0" w:firstRow="1" w:lastRow="0" w:firstColumn="1" w:lastColumn="0" w:noHBand="0" w:noVBand="1"/>
      </w:tblPr>
      <w:tblGrid>
        <w:gridCol w:w="6300"/>
      </w:tblGrid>
      <w:tr w:rsidR="00AE0F99" w:rsidRPr="00AE0F99" w14:paraId="0F32CADD" w14:textId="77777777" w:rsidTr="00AE0F99">
        <w:trPr>
          <w:trHeight w:val="300"/>
        </w:trPr>
        <w:tc>
          <w:tcPr>
            <w:tcW w:w="6300" w:type="dxa"/>
            <w:tcBorders>
              <w:top w:val="nil"/>
              <w:left w:val="single" w:sz="8" w:space="0" w:color="FFFFFF"/>
              <w:bottom w:val="single" w:sz="8" w:space="0" w:color="FFFFFF"/>
              <w:right w:val="nil"/>
            </w:tcBorders>
            <w:shd w:val="clear" w:color="FFFFFF" w:fill="FFFFFF"/>
            <w:noWrap/>
            <w:vAlign w:val="center"/>
            <w:hideMark/>
          </w:tcPr>
          <w:p w14:paraId="4DF37094" w14:textId="4B21BA82" w:rsidR="00AE0F99" w:rsidRPr="00AE0F99" w:rsidRDefault="00AE0F99" w:rsidP="00AE0F99">
            <w:pPr>
              <w:rPr>
                <w:rFonts w:ascii="Calibri" w:hAnsi="Calibri" w:cs="Calibri"/>
                <w:b/>
                <w:bCs/>
                <w:i/>
                <w:iCs/>
                <w:color w:val="000000"/>
                <w:sz w:val="18"/>
                <w:szCs w:val="18"/>
              </w:rPr>
            </w:pPr>
            <w:r w:rsidRPr="00AE0F99">
              <w:rPr>
                <w:rFonts w:ascii="Calibri" w:hAnsi="Calibri" w:cs="Calibri"/>
                <w:b/>
                <w:bCs/>
                <w:i/>
                <w:iCs/>
                <w:color w:val="000000"/>
                <w:sz w:val="18"/>
                <w:szCs w:val="18"/>
              </w:rPr>
              <w:t xml:space="preserve">Légende : </w:t>
            </w:r>
          </w:p>
        </w:tc>
      </w:tr>
      <w:tr w:rsidR="00AE0F99" w:rsidRPr="00AE0F99" w14:paraId="6E897279" w14:textId="77777777" w:rsidTr="00AE0F99">
        <w:trPr>
          <w:trHeight w:val="300"/>
        </w:trPr>
        <w:tc>
          <w:tcPr>
            <w:tcW w:w="6300" w:type="dxa"/>
            <w:tcBorders>
              <w:top w:val="nil"/>
              <w:left w:val="single" w:sz="8" w:space="0" w:color="FFFFFF"/>
              <w:bottom w:val="nil"/>
              <w:right w:val="single" w:sz="8" w:space="0" w:color="FFFFFF"/>
            </w:tcBorders>
            <w:shd w:val="clear" w:color="FFFFFF" w:fill="FFFFFF"/>
            <w:noWrap/>
            <w:vAlign w:val="center"/>
            <w:hideMark/>
          </w:tcPr>
          <w:p w14:paraId="2A9D45BF" w14:textId="77777777" w:rsidR="00AE0F99" w:rsidRPr="00AE0F99" w:rsidRDefault="00AE0F99" w:rsidP="00AE0F99">
            <w:pPr>
              <w:rPr>
                <w:rFonts w:ascii="Calibri" w:hAnsi="Calibri" w:cs="Calibri"/>
                <w:i/>
                <w:iCs/>
                <w:color w:val="000000"/>
                <w:sz w:val="18"/>
                <w:szCs w:val="18"/>
              </w:rPr>
            </w:pPr>
            <w:r w:rsidRPr="00AE0F99">
              <w:rPr>
                <w:rFonts w:ascii="Calibri" w:hAnsi="Calibri" w:cs="Calibri"/>
                <w:i/>
                <w:iCs/>
                <w:color w:val="000000"/>
                <w:sz w:val="18"/>
                <w:szCs w:val="18"/>
              </w:rPr>
              <w:t xml:space="preserve">HC : Heures de cours ; HTE : Heure de travail étudiant </w:t>
            </w:r>
          </w:p>
        </w:tc>
      </w:tr>
    </w:tbl>
    <w:p w14:paraId="2F94801B" w14:textId="77777777" w:rsidR="00AE0F99" w:rsidRDefault="00AE0F99" w:rsidP="003473F3">
      <w:pPr>
        <w:spacing w:line="276" w:lineRule="auto"/>
        <w:rPr>
          <w:rFonts w:ascii="Abadi" w:hAnsi="Abadi"/>
        </w:rPr>
      </w:pPr>
    </w:p>
    <w:tbl>
      <w:tblPr>
        <w:tblW w:w="6300" w:type="dxa"/>
        <w:tblInd w:w="1356" w:type="dxa"/>
        <w:tblCellMar>
          <w:left w:w="70" w:type="dxa"/>
          <w:right w:w="70" w:type="dxa"/>
        </w:tblCellMar>
        <w:tblLook w:val="04A0" w:firstRow="1" w:lastRow="0" w:firstColumn="1" w:lastColumn="0" w:noHBand="0" w:noVBand="1"/>
      </w:tblPr>
      <w:tblGrid>
        <w:gridCol w:w="6300"/>
      </w:tblGrid>
      <w:tr w:rsidR="007217DB" w:rsidRPr="00AE0F99" w14:paraId="2767BB4C" w14:textId="77777777" w:rsidTr="007217DB">
        <w:trPr>
          <w:trHeight w:val="400"/>
        </w:trPr>
        <w:tc>
          <w:tcPr>
            <w:tcW w:w="6300" w:type="dxa"/>
            <w:tcBorders>
              <w:top w:val="single" w:sz="4" w:space="0" w:color="auto"/>
              <w:left w:val="single" w:sz="4" w:space="0" w:color="auto"/>
              <w:bottom w:val="single" w:sz="4" w:space="0" w:color="auto"/>
              <w:right w:val="single" w:sz="4" w:space="0" w:color="auto"/>
            </w:tcBorders>
            <w:shd w:val="clear" w:color="A4C2F4" w:fill="A4C2F4"/>
            <w:noWrap/>
            <w:vAlign w:val="center"/>
            <w:hideMark/>
          </w:tcPr>
          <w:p w14:paraId="0496C748" w14:textId="77777777" w:rsidR="007217DB" w:rsidRPr="00AE0F99" w:rsidRDefault="007217DB" w:rsidP="00756290">
            <w:pPr>
              <w:jc w:val="center"/>
              <w:rPr>
                <w:rFonts w:ascii="Calibri" w:hAnsi="Calibri" w:cs="Calibri"/>
                <w:b/>
                <w:bCs/>
                <w:color w:val="000000"/>
                <w:sz w:val="28"/>
                <w:szCs w:val="28"/>
              </w:rPr>
            </w:pPr>
            <w:r w:rsidRPr="00AE0F99">
              <w:rPr>
                <w:rFonts w:ascii="Calibri" w:hAnsi="Calibri" w:cs="Calibri"/>
                <w:b/>
                <w:bCs/>
                <w:color w:val="000000"/>
                <w:sz w:val="28"/>
                <w:szCs w:val="28"/>
              </w:rPr>
              <w:lastRenderedPageBreak/>
              <w:t>Séminaires</w:t>
            </w:r>
          </w:p>
        </w:tc>
      </w:tr>
      <w:tr w:rsidR="007217DB" w:rsidRPr="00AE0F99" w14:paraId="13590D89" w14:textId="77777777" w:rsidTr="007217DB">
        <w:trPr>
          <w:trHeight w:val="315"/>
        </w:trPr>
        <w:tc>
          <w:tcPr>
            <w:tcW w:w="6300" w:type="dxa"/>
            <w:tcBorders>
              <w:top w:val="nil"/>
              <w:left w:val="single" w:sz="4" w:space="0" w:color="auto"/>
              <w:bottom w:val="single" w:sz="4" w:space="0" w:color="auto"/>
              <w:right w:val="single" w:sz="4" w:space="0" w:color="auto"/>
            </w:tcBorders>
            <w:shd w:val="clear" w:color="C9DAF8" w:fill="C9DAF8"/>
            <w:noWrap/>
            <w:vAlign w:val="center"/>
            <w:hideMark/>
          </w:tcPr>
          <w:p w14:paraId="5189178B" w14:textId="77777777" w:rsidR="007217DB" w:rsidRPr="00AE0F99" w:rsidRDefault="007217DB" w:rsidP="00756290">
            <w:pPr>
              <w:jc w:val="center"/>
              <w:rPr>
                <w:rFonts w:ascii="Calibri" w:hAnsi="Calibri" w:cs="Calibri"/>
                <w:color w:val="1155CC"/>
              </w:rPr>
            </w:pPr>
            <w:r w:rsidRPr="00AE0F99">
              <w:rPr>
                <w:rFonts w:ascii="Calibri" w:hAnsi="Calibri" w:cs="Calibri"/>
                <w:color w:val="1155CC"/>
              </w:rPr>
              <w:t>Conduire une réunion</w:t>
            </w:r>
          </w:p>
        </w:tc>
      </w:tr>
      <w:tr w:rsidR="007217DB" w:rsidRPr="00AE0F99" w14:paraId="07328947" w14:textId="77777777" w:rsidTr="007217DB">
        <w:trPr>
          <w:trHeight w:val="315"/>
        </w:trPr>
        <w:tc>
          <w:tcPr>
            <w:tcW w:w="6300" w:type="dxa"/>
            <w:tcBorders>
              <w:top w:val="nil"/>
              <w:left w:val="single" w:sz="4" w:space="0" w:color="auto"/>
              <w:bottom w:val="single" w:sz="4" w:space="0" w:color="auto"/>
              <w:right w:val="single" w:sz="4" w:space="0" w:color="auto"/>
            </w:tcBorders>
            <w:shd w:val="clear" w:color="C9DAF8" w:fill="C9DAF8"/>
            <w:noWrap/>
            <w:vAlign w:val="center"/>
            <w:hideMark/>
          </w:tcPr>
          <w:p w14:paraId="5A68F2AC" w14:textId="77777777" w:rsidR="007217DB" w:rsidRPr="00AE0F99" w:rsidRDefault="007217DB" w:rsidP="00756290">
            <w:pPr>
              <w:jc w:val="center"/>
              <w:rPr>
                <w:rFonts w:ascii="Calibri" w:hAnsi="Calibri" w:cs="Calibri"/>
                <w:color w:val="1155CC"/>
              </w:rPr>
            </w:pPr>
            <w:r w:rsidRPr="00AE0F99">
              <w:rPr>
                <w:rFonts w:ascii="Calibri" w:hAnsi="Calibri" w:cs="Calibri"/>
                <w:color w:val="1155CC"/>
              </w:rPr>
              <w:t xml:space="preserve">Négociation et médiation internationale </w:t>
            </w:r>
          </w:p>
        </w:tc>
      </w:tr>
      <w:tr w:rsidR="007217DB" w:rsidRPr="00AE0F99" w14:paraId="17B5A493" w14:textId="77777777" w:rsidTr="007217DB">
        <w:trPr>
          <w:trHeight w:val="315"/>
        </w:trPr>
        <w:tc>
          <w:tcPr>
            <w:tcW w:w="6300" w:type="dxa"/>
            <w:tcBorders>
              <w:top w:val="nil"/>
              <w:left w:val="single" w:sz="4" w:space="0" w:color="auto"/>
              <w:bottom w:val="single" w:sz="4" w:space="0" w:color="auto"/>
              <w:right w:val="single" w:sz="4" w:space="0" w:color="auto"/>
            </w:tcBorders>
            <w:shd w:val="clear" w:color="C9DAF8" w:fill="C9DAF8"/>
            <w:noWrap/>
            <w:vAlign w:val="center"/>
            <w:hideMark/>
          </w:tcPr>
          <w:p w14:paraId="38C925A3" w14:textId="77777777" w:rsidR="007217DB" w:rsidRPr="00AE0F99" w:rsidRDefault="007217DB" w:rsidP="00756290">
            <w:pPr>
              <w:jc w:val="center"/>
              <w:rPr>
                <w:rFonts w:ascii="Calibri" w:hAnsi="Calibri" w:cs="Calibri"/>
                <w:color w:val="1155CC"/>
              </w:rPr>
            </w:pPr>
            <w:r w:rsidRPr="00AE0F99">
              <w:rPr>
                <w:rFonts w:ascii="Calibri" w:hAnsi="Calibri" w:cs="Calibri"/>
                <w:color w:val="1155CC"/>
              </w:rPr>
              <w:t>Media training</w:t>
            </w:r>
          </w:p>
        </w:tc>
      </w:tr>
      <w:tr w:rsidR="007217DB" w:rsidRPr="00AE0F99" w14:paraId="3552DA4B" w14:textId="77777777" w:rsidTr="007217DB">
        <w:trPr>
          <w:trHeight w:val="315"/>
        </w:trPr>
        <w:tc>
          <w:tcPr>
            <w:tcW w:w="6300" w:type="dxa"/>
            <w:tcBorders>
              <w:top w:val="nil"/>
              <w:left w:val="single" w:sz="4" w:space="0" w:color="auto"/>
              <w:bottom w:val="single" w:sz="4" w:space="0" w:color="auto"/>
              <w:right w:val="single" w:sz="4" w:space="0" w:color="auto"/>
            </w:tcBorders>
            <w:shd w:val="clear" w:color="C9DAF8" w:fill="C9DAF8"/>
            <w:noWrap/>
            <w:vAlign w:val="center"/>
            <w:hideMark/>
          </w:tcPr>
          <w:p w14:paraId="2E776462" w14:textId="77777777" w:rsidR="007217DB" w:rsidRPr="00AE0F99" w:rsidRDefault="007217DB" w:rsidP="00756290">
            <w:pPr>
              <w:jc w:val="center"/>
              <w:rPr>
                <w:rFonts w:ascii="Calibri" w:hAnsi="Calibri" w:cs="Calibri"/>
                <w:color w:val="1155CC"/>
              </w:rPr>
            </w:pPr>
            <w:r w:rsidRPr="00AE0F99">
              <w:rPr>
                <w:rFonts w:ascii="Calibri" w:hAnsi="Calibri" w:cs="Calibri"/>
                <w:color w:val="1155CC"/>
              </w:rPr>
              <w:t>Le métier du consultant</w:t>
            </w:r>
          </w:p>
        </w:tc>
      </w:tr>
      <w:tr w:rsidR="007217DB" w:rsidRPr="00AE0F99" w14:paraId="36227831" w14:textId="77777777" w:rsidTr="007217DB">
        <w:trPr>
          <w:trHeight w:val="315"/>
        </w:trPr>
        <w:tc>
          <w:tcPr>
            <w:tcW w:w="6300" w:type="dxa"/>
            <w:tcBorders>
              <w:top w:val="nil"/>
              <w:left w:val="single" w:sz="4" w:space="0" w:color="auto"/>
              <w:bottom w:val="single" w:sz="4" w:space="0" w:color="auto"/>
              <w:right w:val="single" w:sz="4" w:space="0" w:color="auto"/>
            </w:tcBorders>
            <w:shd w:val="clear" w:color="C9DAF8" w:fill="C9DAF8"/>
            <w:noWrap/>
            <w:vAlign w:val="center"/>
            <w:hideMark/>
          </w:tcPr>
          <w:p w14:paraId="468D4F27" w14:textId="77777777" w:rsidR="007217DB" w:rsidRPr="00AE0F99" w:rsidRDefault="007217DB" w:rsidP="00756290">
            <w:pPr>
              <w:jc w:val="center"/>
              <w:rPr>
                <w:rFonts w:ascii="Calibri" w:hAnsi="Calibri" w:cs="Calibri"/>
                <w:color w:val="1155CC"/>
              </w:rPr>
            </w:pPr>
            <w:hyperlink r:id="rId11" w:history="1">
              <w:r w:rsidRPr="00AE0F99">
                <w:rPr>
                  <w:rFonts w:ascii="Calibri" w:hAnsi="Calibri" w:cs="Calibri"/>
                  <w:color w:val="1155CC"/>
                </w:rPr>
                <w:t>Outils de conception et de gestion de projet</w:t>
              </w:r>
            </w:hyperlink>
          </w:p>
        </w:tc>
      </w:tr>
      <w:tr w:rsidR="007217DB" w:rsidRPr="00AE0F99" w14:paraId="68503974" w14:textId="77777777" w:rsidTr="007217DB">
        <w:trPr>
          <w:trHeight w:val="315"/>
        </w:trPr>
        <w:tc>
          <w:tcPr>
            <w:tcW w:w="6300" w:type="dxa"/>
            <w:tcBorders>
              <w:top w:val="nil"/>
              <w:left w:val="single" w:sz="4" w:space="0" w:color="auto"/>
              <w:bottom w:val="single" w:sz="4" w:space="0" w:color="auto"/>
              <w:right w:val="single" w:sz="4" w:space="0" w:color="auto"/>
            </w:tcBorders>
            <w:shd w:val="clear" w:color="C9DAF8" w:fill="C9DAF8"/>
            <w:noWrap/>
            <w:vAlign w:val="center"/>
            <w:hideMark/>
          </w:tcPr>
          <w:p w14:paraId="6369AE4A" w14:textId="77777777" w:rsidR="007217DB" w:rsidRPr="00AE0F99" w:rsidRDefault="007217DB" w:rsidP="00756290">
            <w:pPr>
              <w:jc w:val="center"/>
              <w:rPr>
                <w:rFonts w:ascii="Calibri" w:hAnsi="Calibri" w:cs="Calibri"/>
                <w:color w:val="1155CC"/>
              </w:rPr>
            </w:pPr>
            <w:r w:rsidRPr="00AE0F99">
              <w:rPr>
                <w:rFonts w:ascii="Calibri" w:hAnsi="Calibri" w:cs="Calibri"/>
                <w:color w:val="1155CC"/>
              </w:rPr>
              <w:t> </w:t>
            </w:r>
          </w:p>
        </w:tc>
      </w:tr>
    </w:tbl>
    <w:p w14:paraId="74F20AD7" w14:textId="77777777" w:rsidR="007217DB" w:rsidRPr="003473F3" w:rsidRDefault="007217DB" w:rsidP="003473F3">
      <w:pPr>
        <w:spacing w:line="276" w:lineRule="auto"/>
        <w:rPr>
          <w:rFonts w:ascii="Abadi" w:hAnsi="Abadi"/>
        </w:rPr>
      </w:pPr>
    </w:p>
    <w:sectPr w:rsidR="007217DB" w:rsidRPr="003473F3" w:rsidSect="00EE15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699F" w14:textId="77777777" w:rsidR="0069077C" w:rsidRDefault="0069077C" w:rsidP="00AE0F99">
      <w:r>
        <w:separator/>
      </w:r>
    </w:p>
  </w:endnote>
  <w:endnote w:type="continuationSeparator" w:id="0">
    <w:p w14:paraId="03FDE534" w14:textId="77777777" w:rsidR="0069077C" w:rsidRDefault="0069077C" w:rsidP="00AE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badi">
    <w:panose1 w:val="020B0604020104020204"/>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M DoHyeon OTF">
    <w:panose1 w:val="020B0600000101010101"/>
    <w:charset w:val="81"/>
    <w:family w:val="swiss"/>
    <w:notTrueType/>
    <w:pitch w:val="variable"/>
    <w:sig w:usb0="00000203" w:usb1="29D72C10" w:usb2="00000010" w:usb3="00000000" w:csb0="00280005" w:csb1="00000000"/>
  </w:font>
  <w:font w:name="Baloo Bhaijaan">
    <w:panose1 w:val="03080902040302020200"/>
    <w:charset w:val="B2"/>
    <w:family w:val="script"/>
    <w:pitch w:val="variable"/>
    <w:sig w:usb0="A000207F" w:usb1="4000207B" w:usb2="00000000" w:usb3="00000000" w:csb0="000001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D1D8" w14:textId="77777777" w:rsidR="0069077C" w:rsidRDefault="0069077C" w:rsidP="00AE0F99">
      <w:r>
        <w:separator/>
      </w:r>
    </w:p>
  </w:footnote>
  <w:footnote w:type="continuationSeparator" w:id="0">
    <w:p w14:paraId="3F046C4F" w14:textId="77777777" w:rsidR="0069077C" w:rsidRDefault="0069077C" w:rsidP="00AE0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E0E"/>
    <w:multiLevelType w:val="hybridMultilevel"/>
    <w:tmpl w:val="DD3AADDE"/>
    <w:lvl w:ilvl="0" w:tplc="F5AA38D0">
      <w:numFmt w:val="bullet"/>
      <w:lvlText w:val="-"/>
      <w:lvlJc w:val="left"/>
      <w:pPr>
        <w:ind w:left="720" w:hanging="360"/>
      </w:pPr>
      <w:rPr>
        <w:rFonts w:ascii="Century Gothic" w:eastAsia="Calibr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232D09"/>
    <w:multiLevelType w:val="multilevel"/>
    <w:tmpl w:val="C2946032"/>
    <w:lvl w:ilvl="0">
      <w:numFmt w:val="bullet"/>
      <w:lvlText w:val="-"/>
      <w:lvlJc w:val="left"/>
      <w:pPr>
        <w:ind w:left="720" w:hanging="360"/>
      </w:pPr>
      <w:rPr>
        <w:rFonts w:ascii="Abadi" w:eastAsia="Times New Roman" w:hAnsi="Abad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1B46197"/>
    <w:multiLevelType w:val="multilevel"/>
    <w:tmpl w:val="36B8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686625">
    <w:abstractNumId w:val="1"/>
  </w:num>
  <w:num w:numId="2" w16cid:durableId="1226405239">
    <w:abstractNumId w:val="2"/>
  </w:num>
  <w:num w:numId="3" w16cid:durableId="13102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D"/>
    <w:rsid w:val="00010517"/>
    <w:rsid w:val="00093148"/>
    <w:rsid w:val="001F767B"/>
    <w:rsid w:val="003473F3"/>
    <w:rsid w:val="003D7A94"/>
    <w:rsid w:val="00487911"/>
    <w:rsid w:val="004A6DF3"/>
    <w:rsid w:val="004C1103"/>
    <w:rsid w:val="004D589D"/>
    <w:rsid w:val="00556534"/>
    <w:rsid w:val="00590CED"/>
    <w:rsid w:val="005A01AE"/>
    <w:rsid w:val="005A4D91"/>
    <w:rsid w:val="005C1945"/>
    <w:rsid w:val="00633E82"/>
    <w:rsid w:val="00683DB7"/>
    <w:rsid w:val="0069077C"/>
    <w:rsid w:val="006A2113"/>
    <w:rsid w:val="006C0CB2"/>
    <w:rsid w:val="007217DB"/>
    <w:rsid w:val="0078247C"/>
    <w:rsid w:val="007B798A"/>
    <w:rsid w:val="007C2EBE"/>
    <w:rsid w:val="00833390"/>
    <w:rsid w:val="008B6731"/>
    <w:rsid w:val="008C5169"/>
    <w:rsid w:val="009231BD"/>
    <w:rsid w:val="009C21EB"/>
    <w:rsid w:val="00A17E76"/>
    <w:rsid w:val="00AE0F99"/>
    <w:rsid w:val="00B337F7"/>
    <w:rsid w:val="00B377B5"/>
    <w:rsid w:val="00B5662C"/>
    <w:rsid w:val="00B96E10"/>
    <w:rsid w:val="00BD3C83"/>
    <w:rsid w:val="00BD74A4"/>
    <w:rsid w:val="00C271E8"/>
    <w:rsid w:val="00C73D87"/>
    <w:rsid w:val="00C97E38"/>
    <w:rsid w:val="00CC1B33"/>
    <w:rsid w:val="00CC72AD"/>
    <w:rsid w:val="00CF1F45"/>
    <w:rsid w:val="00D139D8"/>
    <w:rsid w:val="00D50993"/>
    <w:rsid w:val="00D658AF"/>
    <w:rsid w:val="00DC1538"/>
    <w:rsid w:val="00E9303A"/>
    <w:rsid w:val="00EE154E"/>
    <w:rsid w:val="00F0736D"/>
    <w:rsid w:val="00F41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FDCFE"/>
  <w15:chartTrackingRefBased/>
  <w15:docId w15:val="{4F1D7133-2B12-46CA-9DE9-A87F0E94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EE154E"/>
    <w:pPr>
      <w:suppressAutoHyphens/>
      <w:autoSpaceDN w:val="0"/>
      <w:ind w:left="720"/>
      <w:textAlignment w:val="baseline"/>
    </w:pPr>
  </w:style>
  <w:style w:type="paragraph" w:styleId="NormalWeb">
    <w:name w:val="Normal (Web)"/>
    <w:basedOn w:val="Normal"/>
    <w:rsid w:val="00EE154E"/>
    <w:pPr>
      <w:suppressAutoHyphens/>
      <w:autoSpaceDN w:val="0"/>
      <w:spacing w:before="100" w:after="100"/>
      <w:textAlignment w:val="baseline"/>
    </w:pPr>
  </w:style>
  <w:style w:type="character" w:styleId="Lienhypertexte">
    <w:name w:val="Hyperlink"/>
    <w:basedOn w:val="Policepardfaut"/>
    <w:uiPriority w:val="99"/>
    <w:unhideWhenUsed/>
    <w:rsid w:val="00833390"/>
    <w:rPr>
      <w:color w:val="0563C1" w:themeColor="hyperlink"/>
      <w:u w:val="single"/>
    </w:rPr>
  </w:style>
  <w:style w:type="character" w:styleId="Mentionnonrsolue">
    <w:name w:val="Unresolved Mention"/>
    <w:basedOn w:val="Policepardfaut"/>
    <w:uiPriority w:val="99"/>
    <w:semiHidden/>
    <w:unhideWhenUsed/>
    <w:rsid w:val="00833390"/>
    <w:rPr>
      <w:color w:val="605E5C"/>
      <w:shd w:val="clear" w:color="auto" w:fill="E1DFDD"/>
    </w:rPr>
  </w:style>
  <w:style w:type="character" w:styleId="Lienhypertextesuivivisit">
    <w:name w:val="FollowedHyperlink"/>
    <w:basedOn w:val="Policepardfaut"/>
    <w:uiPriority w:val="99"/>
    <w:semiHidden/>
    <w:unhideWhenUsed/>
    <w:rsid w:val="007C2EBE"/>
    <w:rPr>
      <w:color w:val="954F72" w:themeColor="followedHyperlink"/>
      <w:u w:val="single"/>
    </w:rPr>
  </w:style>
  <w:style w:type="paragraph" w:customStyle="1" w:styleId="zfr3q">
    <w:name w:val="zfr3q"/>
    <w:basedOn w:val="Normal"/>
    <w:rsid w:val="00B5662C"/>
    <w:pPr>
      <w:spacing w:before="100" w:beforeAutospacing="1" w:after="100" w:afterAutospacing="1"/>
    </w:pPr>
  </w:style>
  <w:style w:type="character" w:customStyle="1" w:styleId="c9dxtc">
    <w:name w:val="c9dxtc"/>
    <w:basedOn w:val="Policepardfaut"/>
    <w:rsid w:val="00B5662C"/>
  </w:style>
  <w:style w:type="character" w:styleId="lev">
    <w:name w:val="Strong"/>
    <w:basedOn w:val="Policepardfaut"/>
    <w:uiPriority w:val="22"/>
    <w:qFormat/>
    <w:rsid w:val="00B96E10"/>
    <w:rPr>
      <w:b/>
      <w:bCs/>
    </w:rPr>
  </w:style>
  <w:style w:type="paragraph" w:styleId="En-tte">
    <w:name w:val="header"/>
    <w:basedOn w:val="Normal"/>
    <w:link w:val="En-tteCar"/>
    <w:uiPriority w:val="99"/>
    <w:unhideWhenUsed/>
    <w:rsid w:val="00AE0F99"/>
    <w:pPr>
      <w:tabs>
        <w:tab w:val="center" w:pos="4536"/>
        <w:tab w:val="right" w:pos="9072"/>
      </w:tabs>
    </w:pPr>
  </w:style>
  <w:style w:type="character" w:customStyle="1" w:styleId="En-tteCar">
    <w:name w:val="En-tête Car"/>
    <w:basedOn w:val="Policepardfaut"/>
    <w:link w:val="En-tte"/>
    <w:uiPriority w:val="99"/>
    <w:rsid w:val="00AE0F9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E0F99"/>
    <w:pPr>
      <w:tabs>
        <w:tab w:val="center" w:pos="4536"/>
        <w:tab w:val="right" w:pos="9072"/>
      </w:tabs>
    </w:pPr>
  </w:style>
  <w:style w:type="character" w:customStyle="1" w:styleId="PieddepageCar">
    <w:name w:val="Pied de page Car"/>
    <w:basedOn w:val="Policepardfaut"/>
    <w:link w:val="Pieddepage"/>
    <w:uiPriority w:val="99"/>
    <w:rsid w:val="00AE0F9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3590">
      <w:bodyDiv w:val="1"/>
      <w:marLeft w:val="0"/>
      <w:marRight w:val="0"/>
      <w:marTop w:val="0"/>
      <w:marBottom w:val="0"/>
      <w:divBdr>
        <w:top w:val="none" w:sz="0" w:space="0" w:color="auto"/>
        <w:left w:val="none" w:sz="0" w:space="0" w:color="auto"/>
        <w:bottom w:val="none" w:sz="0" w:space="0" w:color="auto"/>
        <w:right w:val="none" w:sz="0" w:space="0" w:color="auto"/>
      </w:divBdr>
    </w:div>
    <w:div w:id="1077895901">
      <w:bodyDiv w:val="1"/>
      <w:marLeft w:val="0"/>
      <w:marRight w:val="0"/>
      <w:marTop w:val="0"/>
      <w:marBottom w:val="0"/>
      <w:divBdr>
        <w:top w:val="none" w:sz="0" w:space="0" w:color="auto"/>
        <w:left w:val="none" w:sz="0" w:space="0" w:color="auto"/>
        <w:bottom w:val="none" w:sz="0" w:space="0" w:color="auto"/>
        <w:right w:val="none" w:sz="0" w:space="0" w:color="auto"/>
      </w:divBdr>
    </w:div>
    <w:div w:id="1208563213">
      <w:bodyDiv w:val="1"/>
      <w:marLeft w:val="0"/>
      <w:marRight w:val="0"/>
      <w:marTop w:val="0"/>
      <w:marBottom w:val="0"/>
      <w:divBdr>
        <w:top w:val="none" w:sz="0" w:space="0" w:color="auto"/>
        <w:left w:val="none" w:sz="0" w:space="0" w:color="auto"/>
        <w:bottom w:val="none" w:sz="0" w:space="0" w:color="auto"/>
        <w:right w:val="none" w:sz="0" w:space="0" w:color="auto"/>
      </w:divBdr>
    </w:div>
    <w:div w:id="19444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ZyZfMehbX6P1tn-8vmG_AehcpEgsSQtl0mTKO9gW5Fo/edit?usp=sharing" TargetMode="External"/><Relationship Id="rId5" Type="http://schemas.openxmlformats.org/officeDocument/2006/relationships/webSettings" Target="webSettings.xml"/><Relationship Id="rId10" Type="http://schemas.openxmlformats.org/officeDocument/2006/relationships/hyperlink" Target="mailto:ena@contact.td"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EFFA-6B4B-4E3D-B60B-DFF528DA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873</Words>
  <Characters>4918</Characters>
  <Application>Microsoft Office Word</Application>
  <DocSecurity>0</DocSecurity>
  <Lines>169</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Youssouf Terri</dc:creator>
  <cp:keywords/>
  <dc:description/>
  <cp:lastModifiedBy>Youssouf Terri</cp:lastModifiedBy>
  <cp:revision>19</cp:revision>
  <dcterms:created xsi:type="dcterms:W3CDTF">2022-01-17T11:22:00Z</dcterms:created>
  <dcterms:modified xsi:type="dcterms:W3CDTF">2024-05-31T10:07:00Z</dcterms:modified>
</cp:coreProperties>
</file>